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53" w:rsidRPr="00036189" w:rsidRDefault="00927353" w:rsidP="00036189">
      <w:pPr>
        <w:rPr>
          <w:rFonts w:asciiTheme="minorHAnsi" w:hAnsiTheme="minorHAnsi"/>
          <w:b/>
          <w:sz w:val="36"/>
          <w:szCs w:val="22"/>
          <w:lang w:val="en-GB"/>
        </w:rPr>
      </w:pPr>
      <w:r w:rsidRPr="00036189">
        <w:rPr>
          <w:rFonts w:asciiTheme="minorHAnsi" w:hAnsiTheme="minorHAnsi"/>
          <w:b/>
          <w:noProof/>
          <w:sz w:val="32"/>
          <w:szCs w:val="22"/>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75108" cy="755906"/>
            <wp:effectExtent l="0" t="0" r="6350" b="6350"/>
            <wp:wrapThrough wrapText="bothSides">
              <wp:wrapPolygon edited="0">
                <wp:start x="2709" y="0"/>
                <wp:lineTo x="0" y="5445"/>
                <wp:lineTo x="0" y="17425"/>
                <wp:lineTo x="2709" y="21237"/>
                <wp:lineTo x="2917" y="21237"/>
                <wp:lineTo x="3959" y="21237"/>
                <wp:lineTo x="8126" y="21237"/>
                <wp:lineTo x="18336" y="18514"/>
                <wp:lineTo x="18127" y="17425"/>
                <wp:lineTo x="21461" y="11980"/>
                <wp:lineTo x="21461" y="3267"/>
                <wp:lineTo x="19169" y="2178"/>
                <wp:lineTo x="4167" y="0"/>
                <wp:lineTo x="27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chester Met_horizontal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108" cy="755906"/>
                    </a:xfrm>
                    <a:prstGeom prst="rect">
                      <a:avLst/>
                    </a:prstGeom>
                  </pic:spPr>
                </pic:pic>
              </a:graphicData>
            </a:graphic>
            <wp14:sizeRelH relativeFrom="page">
              <wp14:pctWidth>0</wp14:pctWidth>
            </wp14:sizeRelH>
            <wp14:sizeRelV relativeFrom="page">
              <wp14:pctHeight>0</wp14:pctHeight>
            </wp14:sizeRelV>
          </wp:anchor>
        </w:drawing>
      </w:r>
      <w:r w:rsidR="00036189">
        <w:rPr>
          <w:rFonts w:asciiTheme="minorHAnsi" w:hAnsiTheme="minorHAnsi"/>
          <w:b/>
          <w:sz w:val="36"/>
          <w:szCs w:val="22"/>
          <w:lang w:val="en-GB"/>
        </w:rPr>
        <w:t xml:space="preserve">    </w:t>
      </w:r>
      <w:r w:rsidRPr="00036189">
        <w:rPr>
          <w:rFonts w:asciiTheme="minorHAnsi" w:hAnsiTheme="minorHAnsi"/>
          <w:b/>
          <w:sz w:val="36"/>
          <w:szCs w:val="22"/>
          <w:lang w:val="en-GB"/>
        </w:rPr>
        <w:t xml:space="preserve">EDUCATION SYMPOSIUM: </w:t>
      </w:r>
    </w:p>
    <w:p w:rsidR="00E538B5" w:rsidRDefault="00927353" w:rsidP="00036189">
      <w:pPr>
        <w:ind w:firstLine="360"/>
        <w:rPr>
          <w:rFonts w:asciiTheme="minorHAnsi" w:hAnsiTheme="minorHAnsi"/>
          <w:b/>
          <w:sz w:val="36"/>
          <w:szCs w:val="22"/>
          <w:lang w:val="en-GB"/>
        </w:rPr>
      </w:pPr>
      <w:r w:rsidRPr="00036189">
        <w:rPr>
          <w:rFonts w:asciiTheme="minorHAnsi" w:hAnsiTheme="minorHAnsi"/>
          <w:b/>
          <w:sz w:val="36"/>
          <w:szCs w:val="22"/>
          <w:lang w:val="en-GB"/>
        </w:rPr>
        <w:t>CREATING A WORLD CLASS TEACHING SYSTEM</w:t>
      </w:r>
    </w:p>
    <w:p w:rsidR="00036189" w:rsidRPr="00036189" w:rsidRDefault="00036189" w:rsidP="00927353">
      <w:pPr>
        <w:rPr>
          <w:rFonts w:asciiTheme="minorHAnsi" w:hAnsiTheme="minorHAnsi"/>
          <w:b/>
          <w:sz w:val="32"/>
          <w:szCs w:val="22"/>
          <w:lang w:val="en-GB"/>
        </w:rPr>
      </w:pPr>
    </w:p>
    <w:p w:rsidR="00832B31" w:rsidRDefault="00832B31">
      <w:pPr>
        <w:rPr>
          <w:rFonts w:asciiTheme="minorHAnsi" w:hAnsiTheme="minorHAnsi" w:cstheme="minorHAnsi"/>
          <w:sz w:val="22"/>
          <w:szCs w:val="22"/>
          <w:lang w:val="en-GB"/>
        </w:rPr>
      </w:pPr>
    </w:p>
    <w:p w:rsidR="0012497E" w:rsidRDefault="0012497E" w:rsidP="0012497E">
      <w:pPr>
        <w:pStyle w:val="Title"/>
        <w:rPr>
          <w:b/>
          <w:sz w:val="36"/>
          <w:lang w:val="en-GB"/>
        </w:rPr>
      </w:pPr>
      <w:r w:rsidRPr="0012497E">
        <w:rPr>
          <w:b/>
          <w:sz w:val="36"/>
          <w:lang w:val="en-GB"/>
        </w:rPr>
        <w:t>Teacher Education Policy and Research</w:t>
      </w:r>
    </w:p>
    <w:p w:rsidR="0012497E" w:rsidRPr="0012497E" w:rsidRDefault="0012497E" w:rsidP="0012497E">
      <w:pPr>
        <w:rPr>
          <w:rStyle w:val="Emphasis"/>
          <w:lang w:val="en-GB"/>
        </w:rPr>
      </w:pPr>
      <w:r w:rsidRPr="0012497E">
        <w:rPr>
          <w:rStyle w:val="Emphasis"/>
        </w:rPr>
        <w:t>Moira Hulme</w:t>
      </w:r>
      <w:r w:rsidR="00161D74">
        <w:rPr>
          <w:rStyle w:val="Emphasis"/>
        </w:rPr>
        <w:t xml:space="preserve">, </w:t>
      </w:r>
      <w:r w:rsidRPr="0012497E">
        <w:rPr>
          <w:rStyle w:val="Emphasis"/>
        </w:rPr>
        <w:t>Emilee Rauschenberger</w:t>
      </w:r>
      <w:r w:rsidR="00161D74">
        <w:rPr>
          <w:rStyle w:val="Emphasis"/>
        </w:rPr>
        <w:t xml:space="preserve"> &amp; Karen Meanwell</w:t>
      </w:r>
    </w:p>
    <w:p w:rsidR="0012497E" w:rsidRPr="0012497E" w:rsidRDefault="0012497E" w:rsidP="0012497E">
      <w:pPr>
        <w:rPr>
          <w:lang w:val="en-GB"/>
        </w:rPr>
      </w:pPr>
    </w:p>
    <w:p w:rsidR="00EE5712" w:rsidRDefault="00EE5712" w:rsidP="00CC77DC">
      <w:pPr>
        <w:pStyle w:val="ListParagraph"/>
        <w:numPr>
          <w:ilvl w:val="0"/>
          <w:numId w:val="3"/>
        </w:numPr>
        <w:jc w:val="both"/>
        <w:rPr>
          <w:rFonts w:cstheme="minorHAnsi"/>
        </w:rPr>
      </w:pPr>
      <w:r>
        <w:rPr>
          <w:rFonts w:cstheme="minorHAnsi"/>
        </w:rPr>
        <w:t>Teacher education as a policy problem</w:t>
      </w:r>
      <w:r w:rsidR="001774E6">
        <w:rPr>
          <w:rFonts w:cstheme="minorHAnsi"/>
        </w:rPr>
        <w:t>: problematis</w:t>
      </w:r>
      <w:r w:rsidR="00EB6190">
        <w:rPr>
          <w:rFonts w:cstheme="minorHAnsi"/>
        </w:rPr>
        <w:t>ing teacher quality</w:t>
      </w:r>
    </w:p>
    <w:p w:rsidR="00C81B52" w:rsidRPr="00EE5712" w:rsidRDefault="00C81B52" w:rsidP="00CC77DC">
      <w:pPr>
        <w:pStyle w:val="ListParagraph"/>
        <w:numPr>
          <w:ilvl w:val="0"/>
          <w:numId w:val="3"/>
        </w:numPr>
        <w:jc w:val="both"/>
        <w:rPr>
          <w:rFonts w:cstheme="minorHAnsi"/>
        </w:rPr>
      </w:pPr>
      <w:r w:rsidRPr="0063239C">
        <w:rPr>
          <w:rFonts w:cstheme="minorHAnsi"/>
        </w:rPr>
        <w:t>What do we know about high quality teacher preparation?</w:t>
      </w:r>
      <w:r w:rsidR="00EE5712">
        <w:rPr>
          <w:rFonts w:cstheme="minorHAnsi"/>
        </w:rPr>
        <w:t xml:space="preserve"> </w:t>
      </w:r>
      <w:r w:rsidR="00F40C98" w:rsidRPr="00EE5712">
        <w:rPr>
          <w:rFonts w:cstheme="minorHAnsi"/>
        </w:rPr>
        <w:t xml:space="preserve">How do we know? </w:t>
      </w:r>
    </w:p>
    <w:p w:rsidR="00753879" w:rsidRPr="00EE5712" w:rsidRDefault="0063239C" w:rsidP="00CC77DC">
      <w:pPr>
        <w:pStyle w:val="ListParagraph"/>
        <w:numPr>
          <w:ilvl w:val="0"/>
          <w:numId w:val="3"/>
        </w:numPr>
        <w:jc w:val="both"/>
        <w:rPr>
          <w:rFonts w:cstheme="minorHAnsi"/>
        </w:rPr>
      </w:pPr>
      <w:r>
        <w:rPr>
          <w:rFonts w:cstheme="minorHAnsi"/>
        </w:rPr>
        <w:t xml:space="preserve">What might we learn? </w:t>
      </w:r>
    </w:p>
    <w:p w:rsidR="00927353" w:rsidRPr="00EB6190" w:rsidRDefault="00927353" w:rsidP="00F50F31">
      <w:pPr>
        <w:pStyle w:val="Heading1"/>
        <w:rPr>
          <w:sz w:val="28"/>
          <w:szCs w:val="28"/>
        </w:rPr>
      </w:pPr>
      <w:r w:rsidRPr="00EB6190">
        <w:rPr>
          <w:sz w:val="28"/>
          <w:szCs w:val="28"/>
        </w:rPr>
        <w:t xml:space="preserve">Teacher education as a </w:t>
      </w:r>
      <w:r w:rsidR="00753879" w:rsidRPr="00EB6190">
        <w:rPr>
          <w:sz w:val="28"/>
          <w:szCs w:val="28"/>
        </w:rPr>
        <w:t>‘</w:t>
      </w:r>
      <w:r w:rsidRPr="00EB6190">
        <w:rPr>
          <w:sz w:val="28"/>
          <w:szCs w:val="28"/>
        </w:rPr>
        <w:t>policy problem</w:t>
      </w:r>
      <w:r w:rsidR="00EB6190">
        <w:rPr>
          <w:sz w:val="28"/>
          <w:szCs w:val="28"/>
        </w:rPr>
        <w:t>’</w:t>
      </w:r>
      <w:r w:rsidR="001774E6">
        <w:rPr>
          <w:rFonts w:cstheme="minorHAnsi"/>
          <w:sz w:val="28"/>
          <w:szCs w:val="28"/>
        </w:rPr>
        <w:t>: problematis</w:t>
      </w:r>
      <w:r w:rsidR="00EB6190" w:rsidRPr="00EB6190">
        <w:rPr>
          <w:rFonts w:cstheme="minorHAnsi"/>
          <w:sz w:val="28"/>
          <w:szCs w:val="28"/>
        </w:rPr>
        <w:t>ing teacher quality</w:t>
      </w:r>
    </w:p>
    <w:p w:rsidR="00AF6707" w:rsidRDefault="00E65546" w:rsidP="003A30B1">
      <w:pPr>
        <w:jc w:val="both"/>
        <w:rPr>
          <w:rFonts w:asciiTheme="minorHAnsi" w:hAnsiTheme="minorHAnsi" w:cstheme="minorHAnsi"/>
          <w:sz w:val="22"/>
          <w:szCs w:val="22"/>
        </w:rPr>
      </w:pPr>
      <w:r w:rsidRPr="005D492B">
        <w:rPr>
          <w:rFonts w:asciiTheme="minorHAnsi" w:eastAsiaTheme="minorEastAsia" w:hAnsiTheme="minorHAnsi" w:cs="BemboMTPro-Regular"/>
          <w:color w:val="auto"/>
          <w:sz w:val="22"/>
          <w:szCs w:val="22"/>
          <w:lang w:val="en-GB"/>
        </w:rPr>
        <w:t xml:space="preserve">In the </w:t>
      </w:r>
      <w:r w:rsidR="00CB7EDB">
        <w:rPr>
          <w:rFonts w:asciiTheme="minorHAnsi" w:eastAsiaTheme="minorEastAsia" w:hAnsiTheme="minorHAnsi" w:cs="BemboMTPro-Regular"/>
          <w:color w:val="auto"/>
          <w:sz w:val="22"/>
          <w:szCs w:val="22"/>
          <w:lang w:val="en-GB"/>
        </w:rPr>
        <w:t xml:space="preserve">last fifteen years </w:t>
      </w:r>
      <w:r w:rsidRPr="005D492B">
        <w:rPr>
          <w:rFonts w:asciiTheme="minorHAnsi" w:eastAsiaTheme="minorEastAsia" w:hAnsiTheme="minorHAnsi" w:cs="BemboMTPro-Regular"/>
          <w:color w:val="auto"/>
          <w:sz w:val="22"/>
          <w:szCs w:val="22"/>
          <w:lang w:val="en-GB"/>
        </w:rPr>
        <w:t xml:space="preserve">teacher education has assumed greater significance in global education policy. </w:t>
      </w:r>
      <w:r w:rsidR="00B07750" w:rsidRPr="005D492B">
        <w:rPr>
          <w:rFonts w:asciiTheme="minorHAnsi" w:eastAsiaTheme="minorEastAsia" w:hAnsiTheme="minorHAnsi" w:cs="BemboMTPro-Regular"/>
          <w:color w:val="auto"/>
          <w:sz w:val="22"/>
          <w:szCs w:val="22"/>
          <w:lang w:val="en-GB"/>
        </w:rPr>
        <w:t xml:space="preserve">The quality of a nation’s education system is routinely associated with </w:t>
      </w:r>
      <w:r w:rsidR="003A30B1">
        <w:rPr>
          <w:rFonts w:asciiTheme="minorHAnsi" w:eastAsiaTheme="minorEastAsia" w:hAnsiTheme="minorHAnsi" w:cs="BemboMTPro-Regular"/>
          <w:color w:val="auto"/>
          <w:sz w:val="22"/>
          <w:szCs w:val="22"/>
          <w:lang w:val="en-GB"/>
        </w:rPr>
        <w:t xml:space="preserve">its </w:t>
      </w:r>
      <w:r w:rsidR="00B07750" w:rsidRPr="005D492B">
        <w:rPr>
          <w:rFonts w:asciiTheme="minorHAnsi" w:eastAsiaTheme="minorEastAsia" w:hAnsiTheme="minorHAnsi" w:cs="BemboMTPro-Regular"/>
          <w:color w:val="auto"/>
          <w:sz w:val="22"/>
          <w:szCs w:val="22"/>
          <w:lang w:val="en-GB"/>
        </w:rPr>
        <w:t>competitiveness</w:t>
      </w:r>
      <w:r w:rsidR="003A30B1">
        <w:rPr>
          <w:rFonts w:asciiTheme="minorHAnsi" w:eastAsiaTheme="minorEastAsia" w:hAnsiTheme="minorHAnsi" w:cs="BemboMTPro-Regular"/>
          <w:color w:val="auto"/>
          <w:sz w:val="22"/>
          <w:szCs w:val="22"/>
          <w:lang w:val="en-GB"/>
        </w:rPr>
        <w:t xml:space="preserve"> in the global knowledge economy</w:t>
      </w:r>
      <w:r w:rsidR="00B07750" w:rsidRPr="005D492B">
        <w:rPr>
          <w:rFonts w:asciiTheme="minorHAnsi" w:eastAsiaTheme="minorEastAsia" w:hAnsiTheme="minorHAnsi" w:cs="BemboMTPro-Regular"/>
          <w:color w:val="auto"/>
          <w:sz w:val="22"/>
          <w:szCs w:val="22"/>
          <w:lang w:val="en-GB"/>
        </w:rPr>
        <w:t xml:space="preserve">. </w:t>
      </w:r>
      <w:r w:rsidR="00EB3F81" w:rsidRPr="005D492B">
        <w:rPr>
          <w:rFonts w:asciiTheme="minorHAnsi" w:eastAsiaTheme="minorEastAsia" w:hAnsiTheme="minorHAnsi" w:cs="BemboMTPro-Regular"/>
          <w:color w:val="auto"/>
          <w:sz w:val="22"/>
          <w:szCs w:val="22"/>
          <w:lang w:val="en-GB"/>
        </w:rPr>
        <w:t xml:space="preserve">It is now widely accepted that </w:t>
      </w:r>
      <w:r w:rsidR="00A42C0D">
        <w:rPr>
          <w:rFonts w:asciiTheme="minorHAnsi" w:eastAsiaTheme="minorEastAsia" w:hAnsiTheme="minorHAnsi" w:cs="TTE1112E18t00"/>
          <w:color w:val="auto"/>
          <w:sz w:val="22"/>
          <w:szCs w:val="22"/>
          <w:lang w:val="en-GB"/>
        </w:rPr>
        <w:t xml:space="preserve">high </w:t>
      </w:r>
      <w:r w:rsidR="005D492B" w:rsidRPr="005D492B">
        <w:rPr>
          <w:rFonts w:asciiTheme="minorHAnsi" w:eastAsiaTheme="minorEastAsia" w:hAnsiTheme="minorHAnsi" w:cs="TTE1112E18t00"/>
          <w:color w:val="auto"/>
          <w:sz w:val="22"/>
          <w:szCs w:val="22"/>
          <w:lang w:val="en-GB"/>
        </w:rPr>
        <w:t xml:space="preserve">quality teaching </w:t>
      </w:r>
      <w:r w:rsidR="005D492B">
        <w:rPr>
          <w:rFonts w:asciiTheme="minorHAnsi" w:eastAsiaTheme="minorEastAsia" w:hAnsiTheme="minorHAnsi" w:cs="TTE1112E18t00"/>
          <w:color w:val="auto"/>
          <w:sz w:val="22"/>
          <w:szCs w:val="22"/>
          <w:lang w:val="en-GB"/>
        </w:rPr>
        <w:t>is</w:t>
      </w:r>
      <w:r w:rsidR="00EB3F81" w:rsidRPr="005D492B">
        <w:rPr>
          <w:rFonts w:asciiTheme="minorHAnsi" w:eastAsiaTheme="minorEastAsia" w:hAnsiTheme="minorHAnsi" w:cs="TTE1112E18t00"/>
          <w:color w:val="auto"/>
          <w:sz w:val="22"/>
          <w:szCs w:val="22"/>
          <w:lang w:val="en-GB"/>
        </w:rPr>
        <w:t xml:space="preserve"> the most important </w:t>
      </w:r>
      <w:r w:rsidR="005330FF">
        <w:rPr>
          <w:rFonts w:asciiTheme="minorHAnsi" w:eastAsiaTheme="minorEastAsia" w:hAnsiTheme="minorHAnsi" w:cs="TTE1112E18t00"/>
          <w:color w:val="auto"/>
          <w:sz w:val="22"/>
          <w:szCs w:val="22"/>
          <w:lang w:val="en-GB"/>
        </w:rPr>
        <w:t>within-school</w:t>
      </w:r>
      <w:r w:rsidR="005330FF" w:rsidRPr="005D492B">
        <w:rPr>
          <w:rFonts w:asciiTheme="minorHAnsi" w:eastAsiaTheme="minorEastAsia" w:hAnsiTheme="minorHAnsi" w:cs="TTE1112E18t00"/>
          <w:color w:val="auto"/>
          <w:sz w:val="22"/>
          <w:szCs w:val="22"/>
          <w:lang w:val="en-GB"/>
        </w:rPr>
        <w:t xml:space="preserve"> </w:t>
      </w:r>
      <w:r w:rsidR="00EB3F81" w:rsidRPr="005D492B">
        <w:rPr>
          <w:rFonts w:asciiTheme="minorHAnsi" w:eastAsiaTheme="minorEastAsia" w:hAnsiTheme="minorHAnsi" w:cs="TTE1112E18t00"/>
          <w:color w:val="auto"/>
          <w:sz w:val="22"/>
          <w:szCs w:val="22"/>
          <w:lang w:val="en-GB"/>
        </w:rPr>
        <w:t xml:space="preserve">factor influencing </w:t>
      </w:r>
      <w:r w:rsidR="005330FF">
        <w:rPr>
          <w:rFonts w:asciiTheme="minorHAnsi" w:eastAsiaTheme="minorEastAsia" w:hAnsiTheme="minorHAnsi" w:cs="TTE1112E18t00"/>
          <w:color w:val="auto"/>
          <w:sz w:val="22"/>
          <w:szCs w:val="22"/>
          <w:lang w:val="en-GB"/>
        </w:rPr>
        <w:t>pupil achievement</w:t>
      </w:r>
      <w:r w:rsidR="005D492B">
        <w:rPr>
          <w:rFonts w:asciiTheme="minorHAnsi" w:eastAsiaTheme="minorEastAsia" w:hAnsiTheme="minorHAnsi" w:cs="TTE1112E18t00"/>
          <w:color w:val="auto"/>
          <w:sz w:val="22"/>
          <w:szCs w:val="22"/>
          <w:lang w:val="en-GB"/>
        </w:rPr>
        <w:t>,</w:t>
      </w:r>
      <w:r w:rsidR="00EB3F81" w:rsidRPr="005D492B">
        <w:rPr>
          <w:rFonts w:asciiTheme="minorHAnsi" w:eastAsiaTheme="minorEastAsia" w:hAnsiTheme="minorHAnsi" w:cs="TTE1112E18t00"/>
          <w:color w:val="auto"/>
          <w:sz w:val="22"/>
          <w:szCs w:val="22"/>
          <w:lang w:val="en-GB"/>
        </w:rPr>
        <w:t xml:space="preserve"> especially for less advantaged pupils</w:t>
      </w:r>
      <w:r w:rsidR="005D492B">
        <w:rPr>
          <w:rFonts w:asciiTheme="minorHAnsi" w:eastAsiaTheme="minorEastAsia" w:hAnsiTheme="minorHAnsi" w:cs="TTE1112E18t00"/>
          <w:color w:val="auto"/>
          <w:sz w:val="22"/>
          <w:szCs w:val="22"/>
          <w:lang w:val="en-GB"/>
        </w:rPr>
        <w:t xml:space="preserve"> (OECD, 2012)</w:t>
      </w:r>
      <w:r w:rsidR="00EB3F81" w:rsidRPr="005D492B">
        <w:rPr>
          <w:rFonts w:asciiTheme="minorHAnsi" w:eastAsiaTheme="minorEastAsia" w:hAnsiTheme="minorHAnsi" w:cs="TTE1112E18t00"/>
          <w:color w:val="auto"/>
          <w:sz w:val="22"/>
          <w:szCs w:val="22"/>
          <w:lang w:val="en-GB"/>
        </w:rPr>
        <w:t xml:space="preserve">. </w:t>
      </w:r>
      <w:r w:rsidR="00EB3F81" w:rsidRPr="005D492B">
        <w:rPr>
          <w:rFonts w:asciiTheme="minorHAnsi" w:hAnsiTheme="minorHAnsi" w:cstheme="minorHAnsi"/>
          <w:sz w:val="22"/>
          <w:szCs w:val="22"/>
        </w:rPr>
        <w:t>The</w:t>
      </w:r>
      <w:r w:rsidR="005D492B">
        <w:rPr>
          <w:rFonts w:asciiTheme="minorHAnsi" w:hAnsiTheme="minorHAnsi" w:cstheme="minorHAnsi"/>
          <w:sz w:val="22"/>
          <w:szCs w:val="22"/>
        </w:rPr>
        <w:t xml:space="preserve"> </w:t>
      </w:r>
      <w:r w:rsidR="00EB3F81" w:rsidRPr="005D492B">
        <w:rPr>
          <w:rFonts w:asciiTheme="minorHAnsi" w:hAnsiTheme="minorHAnsi" w:cstheme="minorHAnsi"/>
          <w:sz w:val="22"/>
          <w:szCs w:val="22"/>
        </w:rPr>
        <w:t>shift in emphasis from structural reform to ‘teacher quality’</w:t>
      </w:r>
      <w:r w:rsidR="005D492B">
        <w:rPr>
          <w:rFonts w:asciiTheme="minorHAnsi" w:hAnsiTheme="minorHAnsi" w:cstheme="minorHAnsi"/>
          <w:sz w:val="22"/>
          <w:szCs w:val="22"/>
        </w:rPr>
        <w:t xml:space="preserve"> </w:t>
      </w:r>
      <w:r w:rsidR="00AF6707">
        <w:rPr>
          <w:rFonts w:asciiTheme="minorHAnsi" w:hAnsiTheme="minorHAnsi" w:cstheme="minorHAnsi"/>
          <w:sz w:val="22"/>
          <w:szCs w:val="22"/>
        </w:rPr>
        <w:t xml:space="preserve">has </w:t>
      </w:r>
      <w:r w:rsidR="00BA0CCF">
        <w:rPr>
          <w:rFonts w:asciiTheme="minorHAnsi" w:hAnsiTheme="minorHAnsi" w:cstheme="minorHAnsi"/>
          <w:sz w:val="22"/>
          <w:szCs w:val="22"/>
        </w:rPr>
        <w:t>once more placed</w:t>
      </w:r>
      <w:r w:rsidR="00EB3F81" w:rsidRPr="005D492B">
        <w:rPr>
          <w:rFonts w:asciiTheme="minorHAnsi" w:hAnsiTheme="minorHAnsi" w:cstheme="minorHAnsi"/>
          <w:sz w:val="22"/>
          <w:szCs w:val="22"/>
        </w:rPr>
        <w:t xml:space="preserve"> the teacher </w:t>
      </w:r>
      <w:r w:rsidR="00AF6707">
        <w:rPr>
          <w:rFonts w:asciiTheme="minorHAnsi" w:hAnsiTheme="minorHAnsi" w:cstheme="minorHAnsi"/>
          <w:sz w:val="22"/>
          <w:szCs w:val="22"/>
        </w:rPr>
        <w:t xml:space="preserve">workforce </w:t>
      </w:r>
      <w:r w:rsidR="00EB3F81" w:rsidRPr="005D492B">
        <w:rPr>
          <w:rFonts w:asciiTheme="minorHAnsi" w:hAnsiTheme="minorHAnsi" w:cstheme="minorHAnsi"/>
          <w:sz w:val="22"/>
          <w:szCs w:val="22"/>
        </w:rPr>
        <w:t xml:space="preserve">at </w:t>
      </w:r>
      <w:r w:rsidR="00EB3F81" w:rsidRPr="00AF6707">
        <w:rPr>
          <w:rFonts w:asciiTheme="minorHAnsi" w:hAnsiTheme="minorHAnsi" w:cstheme="minorHAnsi"/>
          <w:sz w:val="22"/>
          <w:szCs w:val="22"/>
        </w:rPr>
        <w:t>the center of policy discourse</w:t>
      </w:r>
      <w:r w:rsidR="005D492B" w:rsidRPr="00AF6707">
        <w:rPr>
          <w:rFonts w:asciiTheme="minorHAnsi" w:hAnsiTheme="minorHAnsi" w:cstheme="minorHAnsi"/>
          <w:sz w:val="22"/>
          <w:szCs w:val="22"/>
        </w:rPr>
        <w:t>, ‘</w:t>
      </w:r>
      <w:r w:rsidR="00EB3F81" w:rsidRPr="00AF6707">
        <w:rPr>
          <w:rFonts w:asciiTheme="minorHAnsi" w:eastAsiaTheme="minorEastAsia" w:hAnsiTheme="minorHAnsi" w:cs="BemboMTPro-Regular"/>
          <w:color w:val="auto"/>
          <w:sz w:val="22"/>
          <w:szCs w:val="22"/>
          <w:lang w:val="en-GB"/>
        </w:rPr>
        <w:t>at least as a policy focus if not as policy actors’ (Paine and Zeichner 2012: 573)</w:t>
      </w:r>
      <w:r w:rsidR="00EB3F81" w:rsidRPr="00AF6707">
        <w:rPr>
          <w:rFonts w:asciiTheme="minorHAnsi" w:hAnsiTheme="minorHAnsi" w:cstheme="minorHAnsi"/>
          <w:sz w:val="22"/>
          <w:szCs w:val="22"/>
        </w:rPr>
        <w:t xml:space="preserve">. </w:t>
      </w:r>
      <w:r w:rsidR="00EB3F81" w:rsidRPr="00AF6707">
        <w:rPr>
          <w:rFonts w:asciiTheme="minorHAnsi" w:eastAsiaTheme="minorEastAsia" w:hAnsiTheme="minorHAnsi" w:cs="TTE1112E18t00"/>
          <w:color w:val="auto"/>
          <w:sz w:val="22"/>
          <w:szCs w:val="22"/>
          <w:lang w:val="en-GB"/>
        </w:rPr>
        <w:t xml:space="preserve"> </w:t>
      </w:r>
      <w:r w:rsidR="00AF6707">
        <w:rPr>
          <w:rFonts w:asciiTheme="minorHAnsi" w:hAnsiTheme="minorHAnsi" w:cstheme="minorHAnsi"/>
          <w:sz w:val="22"/>
          <w:szCs w:val="22"/>
        </w:rPr>
        <w:t>T</w:t>
      </w:r>
      <w:r w:rsidR="00AF6707" w:rsidRPr="009C6433">
        <w:rPr>
          <w:rFonts w:asciiTheme="minorHAnsi" w:hAnsiTheme="minorHAnsi" w:cstheme="minorHAnsi"/>
          <w:sz w:val="22"/>
          <w:szCs w:val="22"/>
        </w:rPr>
        <w:t xml:space="preserve">eacher education </w:t>
      </w:r>
      <w:r w:rsidR="00857A65">
        <w:rPr>
          <w:rFonts w:asciiTheme="minorHAnsi" w:hAnsiTheme="minorHAnsi" w:cstheme="minorHAnsi"/>
          <w:sz w:val="22"/>
          <w:szCs w:val="22"/>
        </w:rPr>
        <w:t xml:space="preserve">is firmly positioned </w:t>
      </w:r>
      <w:r w:rsidR="00AF6707" w:rsidRPr="009C6433">
        <w:rPr>
          <w:rFonts w:asciiTheme="minorHAnsi" w:hAnsiTheme="minorHAnsi" w:cstheme="minorHAnsi"/>
          <w:sz w:val="22"/>
          <w:szCs w:val="22"/>
        </w:rPr>
        <w:t>as a ‘policy problem’ to be managed by central government (Cochran-Smith, 2005).</w:t>
      </w:r>
      <w:r w:rsidR="00AF6707">
        <w:rPr>
          <w:rFonts w:asciiTheme="minorHAnsi" w:hAnsiTheme="minorHAnsi" w:cstheme="minorHAnsi"/>
          <w:sz w:val="22"/>
          <w:szCs w:val="22"/>
        </w:rPr>
        <w:t xml:space="preserve"> </w:t>
      </w:r>
      <w:r w:rsidR="009C48C2">
        <w:rPr>
          <w:rFonts w:asciiTheme="minorHAnsi" w:hAnsiTheme="minorHAnsi" w:cstheme="minorHAnsi"/>
          <w:sz w:val="22"/>
          <w:szCs w:val="22"/>
        </w:rPr>
        <w:t>Renewed a</w:t>
      </w:r>
      <w:r w:rsidR="00AF6707">
        <w:rPr>
          <w:rFonts w:asciiTheme="minorHAnsi" w:hAnsiTheme="minorHAnsi" w:cstheme="minorHAnsi"/>
          <w:sz w:val="22"/>
          <w:szCs w:val="22"/>
        </w:rPr>
        <w:t>ttention to teacher</w:t>
      </w:r>
      <w:r w:rsidR="00857A65">
        <w:rPr>
          <w:rFonts w:asciiTheme="minorHAnsi" w:hAnsiTheme="minorHAnsi" w:cstheme="minorHAnsi"/>
          <w:sz w:val="22"/>
          <w:szCs w:val="22"/>
        </w:rPr>
        <w:t>/teaching</w:t>
      </w:r>
      <w:r w:rsidR="00AF6707">
        <w:rPr>
          <w:rFonts w:asciiTheme="minorHAnsi" w:hAnsiTheme="minorHAnsi" w:cstheme="minorHAnsi"/>
          <w:sz w:val="22"/>
          <w:szCs w:val="22"/>
        </w:rPr>
        <w:t xml:space="preserve"> quality </w:t>
      </w:r>
      <w:r w:rsidR="00576AE4">
        <w:rPr>
          <w:rFonts w:asciiTheme="minorHAnsi" w:hAnsiTheme="minorHAnsi" w:cstheme="minorHAnsi"/>
          <w:sz w:val="22"/>
          <w:szCs w:val="22"/>
        </w:rPr>
        <w:t xml:space="preserve">– in response to concerns about school and student outcomes </w:t>
      </w:r>
      <w:r w:rsidR="00857A65">
        <w:rPr>
          <w:rFonts w:asciiTheme="minorHAnsi" w:hAnsiTheme="minorHAnsi" w:cstheme="minorHAnsi"/>
          <w:sz w:val="22"/>
          <w:szCs w:val="22"/>
        </w:rPr>
        <w:t>–</w:t>
      </w:r>
      <w:r w:rsidR="00576AE4">
        <w:rPr>
          <w:rFonts w:asciiTheme="minorHAnsi" w:hAnsiTheme="minorHAnsi" w:cstheme="minorHAnsi"/>
          <w:sz w:val="22"/>
          <w:szCs w:val="22"/>
        </w:rPr>
        <w:t xml:space="preserve"> </w:t>
      </w:r>
      <w:r w:rsidR="00857A65">
        <w:rPr>
          <w:rFonts w:asciiTheme="minorHAnsi" w:hAnsiTheme="minorHAnsi" w:cstheme="minorHAnsi"/>
          <w:sz w:val="22"/>
          <w:szCs w:val="22"/>
        </w:rPr>
        <w:t>has evoked</w:t>
      </w:r>
      <w:r w:rsidR="009C48C2">
        <w:rPr>
          <w:rFonts w:asciiTheme="minorHAnsi" w:hAnsiTheme="minorHAnsi" w:cstheme="minorHAnsi"/>
          <w:sz w:val="22"/>
          <w:szCs w:val="22"/>
        </w:rPr>
        <w:t xml:space="preserve"> </w:t>
      </w:r>
      <w:r w:rsidR="003A30B1">
        <w:rPr>
          <w:rFonts w:asciiTheme="minorHAnsi" w:hAnsiTheme="minorHAnsi" w:cstheme="minorHAnsi"/>
          <w:sz w:val="22"/>
          <w:szCs w:val="22"/>
        </w:rPr>
        <w:t>scrutiny of</w:t>
      </w:r>
      <w:r w:rsidR="00AF6707">
        <w:rPr>
          <w:rFonts w:asciiTheme="minorHAnsi" w:hAnsiTheme="minorHAnsi" w:cstheme="minorHAnsi"/>
          <w:sz w:val="22"/>
          <w:szCs w:val="22"/>
        </w:rPr>
        <w:t xml:space="preserve"> </w:t>
      </w:r>
      <w:r w:rsidR="005D492B" w:rsidRPr="00AF6707">
        <w:rPr>
          <w:rFonts w:asciiTheme="minorHAnsi" w:hAnsiTheme="minorHAnsi" w:cstheme="minorHAnsi"/>
          <w:sz w:val="22"/>
          <w:szCs w:val="22"/>
        </w:rPr>
        <w:t xml:space="preserve">the </w:t>
      </w:r>
      <w:r w:rsidR="00AF6707">
        <w:rPr>
          <w:rFonts w:asciiTheme="minorHAnsi" w:hAnsiTheme="minorHAnsi" w:cstheme="minorHAnsi"/>
          <w:sz w:val="22"/>
          <w:szCs w:val="22"/>
        </w:rPr>
        <w:t xml:space="preserve">effectiveness </w:t>
      </w:r>
      <w:r w:rsidR="005D492B" w:rsidRPr="00AF6707">
        <w:rPr>
          <w:rFonts w:asciiTheme="minorHAnsi" w:hAnsiTheme="minorHAnsi" w:cstheme="minorHAnsi"/>
          <w:sz w:val="22"/>
          <w:szCs w:val="22"/>
        </w:rPr>
        <w:t>of teacher preparation programmes</w:t>
      </w:r>
      <w:r w:rsidR="00AF6707" w:rsidRPr="00AF6707">
        <w:rPr>
          <w:rFonts w:asciiTheme="minorHAnsi" w:eastAsiaTheme="minorEastAsia" w:hAnsiTheme="minorHAnsi" w:cs="BemboMTPro-Regular"/>
          <w:color w:val="auto"/>
          <w:sz w:val="22"/>
          <w:szCs w:val="22"/>
          <w:lang w:val="en-GB"/>
        </w:rPr>
        <w:t>, leading to national reviews of teacher education</w:t>
      </w:r>
      <w:r w:rsidR="00857A65">
        <w:rPr>
          <w:rFonts w:asciiTheme="minorHAnsi" w:eastAsiaTheme="minorEastAsia" w:hAnsiTheme="minorHAnsi" w:cs="BemboMTPro-Regular"/>
          <w:color w:val="auto"/>
          <w:sz w:val="22"/>
          <w:szCs w:val="22"/>
          <w:lang w:val="en-GB"/>
        </w:rPr>
        <w:t xml:space="preserve"> in the UK and internationally</w:t>
      </w:r>
      <w:r w:rsidR="009C48C2">
        <w:rPr>
          <w:rFonts w:asciiTheme="minorHAnsi" w:eastAsiaTheme="minorEastAsia" w:hAnsiTheme="minorHAnsi" w:cs="BemboMTPro-Regular"/>
          <w:color w:val="auto"/>
          <w:sz w:val="22"/>
          <w:szCs w:val="22"/>
          <w:lang w:val="en-GB"/>
        </w:rPr>
        <w:t xml:space="preserve"> (figure 1)</w:t>
      </w:r>
      <w:r w:rsidR="00AF6707" w:rsidRPr="00AF6707">
        <w:rPr>
          <w:rFonts w:asciiTheme="minorHAnsi" w:eastAsiaTheme="minorEastAsia" w:hAnsiTheme="minorHAnsi" w:cs="BemboMTPro-Regular"/>
          <w:color w:val="auto"/>
          <w:sz w:val="22"/>
          <w:szCs w:val="22"/>
          <w:lang w:val="en-GB"/>
        </w:rPr>
        <w:t>.</w:t>
      </w:r>
      <w:r w:rsidR="00AF6707">
        <w:rPr>
          <w:rFonts w:ascii="BemboMTPro-Regular" w:eastAsiaTheme="minorEastAsia" w:hAnsi="BemboMTPro-Regular" w:cs="BemboMTPro-Regular"/>
          <w:color w:val="auto"/>
          <w:sz w:val="22"/>
          <w:szCs w:val="22"/>
          <w:lang w:val="en-GB"/>
        </w:rPr>
        <w:t xml:space="preserve"> </w:t>
      </w:r>
      <w:r w:rsidR="009C48C2">
        <w:rPr>
          <w:rFonts w:asciiTheme="minorHAnsi" w:hAnsiTheme="minorHAnsi" w:cstheme="minorHAnsi"/>
          <w:sz w:val="22"/>
          <w:szCs w:val="22"/>
        </w:rPr>
        <w:t>R</w:t>
      </w:r>
      <w:r w:rsidR="009C48C2" w:rsidRPr="005D492B">
        <w:rPr>
          <w:rFonts w:asciiTheme="minorHAnsi" w:hAnsiTheme="minorHAnsi" w:cstheme="minorHAnsi"/>
          <w:sz w:val="22"/>
          <w:szCs w:val="22"/>
        </w:rPr>
        <w:t xml:space="preserve">ecent years have seen an intense focus on </w:t>
      </w:r>
      <w:r w:rsidR="009C48C2">
        <w:rPr>
          <w:rFonts w:asciiTheme="minorHAnsi" w:hAnsiTheme="minorHAnsi" w:cstheme="minorHAnsi"/>
          <w:sz w:val="22"/>
          <w:szCs w:val="22"/>
        </w:rPr>
        <w:t xml:space="preserve">impact and </w:t>
      </w:r>
      <w:r w:rsidR="009C48C2" w:rsidRPr="005D492B">
        <w:rPr>
          <w:rFonts w:asciiTheme="minorHAnsi" w:hAnsiTheme="minorHAnsi" w:cstheme="minorHAnsi"/>
          <w:sz w:val="22"/>
          <w:szCs w:val="22"/>
        </w:rPr>
        <w:t>outcomes</w:t>
      </w:r>
      <w:r w:rsidR="009C48C2">
        <w:rPr>
          <w:rFonts w:asciiTheme="minorHAnsi" w:hAnsiTheme="minorHAnsi" w:cstheme="minorHAnsi"/>
          <w:sz w:val="22"/>
          <w:szCs w:val="22"/>
        </w:rPr>
        <w:t>,</w:t>
      </w:r>
      <w:r w:rsidR="009C48C2" w:rsidRPr="005D492B">
        <w:rPr>
          <w:rFonts w:asciiTheme="minorHAnsi" w:hAnsiTheme="minorHAnsi" w:cstheme="minorHAnsi"/>
          <w:sz w:val="22"/>
          <w:szCs w:val="22"/>
        </w:rPr>
        <w:t xml:space="preserve"> and stronger engagement with empirical evidence about</w:t>
      </w:r>
      <w:r w:rsidR="00857A65">
        <w:rPr>
          <w:rFonts w:asciiTheme="minorHAnsi" w:hAnsiTheme="minorHAnsi" w:cstheme="minorHAnsi"/>
          <w:sz w:val="22"/>
          <w:szCs w:val="22"/>
        </w:rPr>
        <w:t xml:space="preserve"> value addedness</w:t>
      </w:r>
      <w:r w:rsidR="009C48C2" w:rsidRPr="005D492B">
        <w:rPr>
          <w:rFonts w:asciiTheme="minorHAnsi" w:hAnsiTheme="minorHAnsi" w:cstheme="minorHAnsi"/>
          <w:sz w:val="22"/>
          <w:szCs w:val="22"/>
        </w:rPr>
        <w:t>.</w:t>
      </w:r>
      <w:r w:rsidR="00CB7EDB">
        <w:rPr>
          <w:rFonts w:asciiTheme="minorHAnsi" w:hAnsiTheme="minorHAnsi" w:cstheme="minorHAnsi"/>
          <w:sz w:val="22"/>
          <w:szCs w:val="22"/>
        </w:rPr>
        <w:t xml:space="preserve"> In the US, </w:t>
      </w:r>
      <w:r w:rsidR="00CB7EDB" w:rsidRPr="009C6433">
        <w:rPr>
          <w:rFonts w:asciiTheme="minorHAnsi" w:eastAsiaTheme="minorEastAsia" w:hAnsiTheme="minorHAnsi" w:cs="BemboMTPro-Regular"/>
          <w:color w:val="auto"/>
          <w:sz w:val="22"/>
          <w:szCs w:val="22"/>
          <w:lang w:val="en-GB"/>
        </w:rPr>
        <w:t xml:space="preserve">Tatto and Plank (2007: 269) </w:t>
      </w:r>
      <w:r w:rsidR="00A42C0D">
        <w:rPr>
          <w:rFonts w:asciiTheme="minorHAnsi" w:eastAsiaTheme="minorEastAsia" w:hAnsiTheme="minorHAnsi" w:cs="BemboMTPro-Regular"/>
          <w:color w:val="auto"/>
          <w:sz w:val="22"/>
          <w:szCs w:val="22"/>
          <w:lang w:val="en-GB"/>
        </w:rPr>
        <w:t xml:space="preserve">have </w:t>
      </w:r>
      <w:r w:rsidR="00CB7EDB" w:rsidRPr="009C6433">
        <w:rPr>
          <w:rFonts w:asciiTheme="minorHAnsi" w:eastAsiaTheme="minorEastAsia" w:hAnsiTheme="minorHAnsi" w:cs="BemboMTPro-Regular"/>
          <w:color w:val="auto"/>
          <w:sz w:val="22"/>
          <w:szCs w:val="22"/>
          <w:lang w:val="en-GB"/>
        </w:rPr>
        <w:t>describe</w:t>
      </w:r>
      <w:r w:rsidR="00CB7EDB">
        <w:rPr>
          <w:rFonts w:asciiTheme="minorHAnsi" w:eastAsiaTheme="minorEastAsia" w:hAnsiTheme="minorHAnsi" w:cs="BemboMTPro-Regular"/>
          <w:color w:val="auto"/>
          <w:sz w:val="22"/>
          <w:szCs w:val="22"/>
          <w:lang w:val="en-GB"/>
        </w:rPr>
        <w:t>d</w:t>
      </w:r>
      <w:r w:rsidR="00CB7EDB" w:rsidRPr="009C6433">
        <w:rPr>
          <w:rFonts w:asciiTheme="minorHAnsi" w:eastAsiaTheme="minorEastAsia" w:hAnsiTheme="minorHAnsi" w:cs="BemboMTPro-Regular"/>
          <w:color w:val="auto"/>
          <w:sz w:val="22"/>
          <w:szCs w:val="22"/>
          <w:lang w:val="en-GB"/>
        </w:rPr>
        <w:t xml:space="preserve"> teacher education institutions </w:t>
      </w:r>
      <w:r w:rsidR="00A42C0D">
        <w:rPr>
          <w:rFonts w:asciiTheme="minorHAnsi" w:eastAsiaTheme="minorEastAsia" w:hAnsiTheme="minorHAnsi" w:cs="BemboMTPro-Regular"/>
          <w:color w:val="auto"/>
          <w:sz w:val="22"/>
          <w:szCs w:val="22"/>
          <w:lang w:val="en-GB"/>
        </w:rPr>
        <w:t xml:space="preserve">as </w:t>
      </w:r>
      <w:r w:rsidR="00CB7EDB" w:rsidRPr="009C6433">
        <w:rPr>
          <w:rFonts w:asciiTheme="minorHAnsi" w:eastAsiaTheme="minorEastAsia" w:hAnsiTheme="minorHAnsi" w:cs="BemboMTPro-Regular"/>
          <w:color w:val="auto"/>
          <w:sz w:val="22"/>
          <w:szCs w:val="22"/>
          <w:lang w:val="en-GB"/>
        </w:rPr>
        <w:t>operating within an ‘environment of permanent educational crisis’. Darling-Hammond (2012: ix) describes ‘a tsunami of reform’</w:t>
      </w:r>
      <w:r w:rsidR="00CB7EDB">
        <w:rPr>
          <w:rFonts w:asciiTheme="minorHAnsi" w:hAnsiTheme="minorHAnsi" w:cstheme="minorHAnsi"/>
          <w:sz w:val="22"/>
          <w:szCs w:val="22"/>
        </w:rPr>
        <w:t xml:space="preserve"> </w:t>
      </w:r>
      <w:r w:rsidR="00CB7EDB" w:rsidRPr="009C6433">
        <w:rPr>
          <w:rFonts w:asciiTheme="minorHAnsi" w:eastAsiaTheme="minorEastAsia" w:hAnsiTheme="minorHAnsi" w:cs="BemboMTPro-Regular"/>
          <w:color w:val="auto"/>
          <w:sz w:val="22"/>
          <w:szCs w:val="22"/>
          <w:lang w:val="en-GB"/>
        </w:rPr>
        <w:t>around an increasingly ‘limited menu of change’.</w:t>
      </w:r>
      <w:r w:rsidR="00CB7EDB">
        <w:rPr>
          <w:rFonts w:asciiTheme="minorHAnsi" w:eastAsiaTheme="minorEastAsia" w:hAnsiTheme="minorHAnsi" w:cs="BemboMTPro-Regular"/>
          <w:color w:val="auto"/>
          <w:sz w:val="22"/>
          <w:szCs w:val="22"/>
          <w:lang w:val="en-GB"/>
        </w:rPr>
        <w:t xml:space="preserve"> In Australia, </w:t>
      </w:r>
      <w:r w:rsidR="00CB7EDB" w:rsidRPr="009C6433">
        <w:rPr>
          <w:rFonts w:asciiTheme="minorHAnsi" w:hAnsiTheme="minorHAnsi" w:cstheme="minorHAnsi"/>
          <w:sz w:val="22"/>
          <w:szCs w:val="22"/>
        </w:rPr>
        <w:t xml:space="preserve">Louden </w:t>
      </w:r>
      <w:r w:rsidR="00CB7EDB">
        <w:rPr>
          <w:rFonts w:asciiTheme="minorHAnsi" w:hAnsiTheme="minorHAnsi" w:cstheme="minorHAnsi"/>
          <w:sz w:val="22"/>
          <w:szCs w:val="22"/>
        </w:rPr>
        <w:t>(2008, 357) writes of a ‘t</w:t>
      </w:r>
      <w:r w:rsidR="00CB7EDB" w:rsidRPr="009C6433">
        <w:rPr>
          <w:rFonts w:asciiTheme="minorHAnsi" w:hAnsiTheme="minorHAnsi" w:cstheme="minorHAnsi"/>
          <w:sz w:val="22"/>
          <w:szCs w:val="22"/>
        </w:rPr>
        <w:t>eac</w:t>
      </w:r>
      <w:r w:rsidR="00CB7EDB">
        <w:rPr>
          <w:rFonts w:asciiTheme="minorHAnsi" w:hAnsiTheme="minorHAnsi" w:cstheme="minorHAnsi"/>
          <w:sz w:val="22"/>
          <w:szCs w:val="22"/>
        </w:rPr>
        <w:t>her education policy epidemic’.</w:t>
      </w:r>
      <w:r w:rsidR="00E5669A">
        <w:rPr>
          <w:rFonts w:asciiTheme="minorHAnsi" w:hAnsiTheme="minorHAnsi" w:cstheme="minorHAnsi"/>
          <w:sz w:val="22"/>
          <w:szCs w:val="22"/>
        </w:rPr>
        <w:t xml:space="preserve"> </w:t>
      </w:r>
      <w:r w:rsidR="00576AE4">
        <w:rPr>
          <w:rFonts w:asciiTheme="minorHAnsi" w:hAnsiTheme="minorHAnsi" w:cstheme="minorHAnsi"/>
          <w:sz w:val="22"/>
          <w:szCs w:val="22"/>
        </w:rPr>
        <w:t>Between 2010 and 2015 major reviews teacher education were conducted in each of the four nations of the UK.</w:t>
      </w:r>
    </w:p>
    <w:p w:rsidR="0074752B" w:rsidRDefault="0074752B" w:rsidP="003A30B1">
      <w:pPr>
        <w:jc w:val="both"/>
        <w:rPr>
          <w:rFonts w:asciiTheme="minorHAnsi" w:hAnsiTheme="minorHAnsi" w:cstheme="minorHAnsi"/>
          <w:sz w:val="22"/>
          <w:szCs w:val="22"/>
        </w:rPr>
      </w:pPr>
    </w:p>
    <w:p w:rsidR="0074752B" w:rsidRPr="0074752B" w:rsidRDefault="0074752B" w:rsidP="00F76765">
      <w:pPr>
        <w:pStyle w:val="Quote"/>
        <w:tabs>
          <w:tab w:val="left" w:pos="10065"/>
        </w:tabs>
        <w:spacing w:line="240" w:lineRule="auto"/>
        <w:rPr>
          <w:lang w:val="en-GB"/>
        </w:rPr>
      </w:pPr>
      <w:r>
        <w:rPr>
          <w:lang w:val="en-GB"/>
        </w:rPr>
        <w:t>Teaching is at a crossroads: a crossroads at the top of the world. Never before have teachers, teaching, and the future of teaching had such an elevated importance … there is a lot of argument and more than a little aggravation about what high-quality teaching looks like and what’s the best way to get it and keep it. The crossroads are shrouded in a fog of misunderstandings about teachers and teaching, and if we take the wrong road forward, precipices are looming</w:t>
      </w:r>
      <w:r w:rsidR="00F76765">
        <w:rPr>
          <w:lang w:val="en-GB"/>
        </w:rPr>
        <w:t xml:space="preserve"> on many sides. </w:t>
      </w:r>
      <w:r w:rsidR="00F76765" w:rsidRPr="005D5C05">
        <w:rPr>
          <w:i w:val="0"/>
          <w:lang w:val="en-GB"/>
        </w:rPr>
        <w:t xml:space="preserve">(Hargreaves &amp; </w:t>
      </w:r>
      <w:r w:rsidRPr="005D5C05">
        <w:rPr>
          <w:i w:val="0"/>
          <w:lang w:val="en-GB"/>
        </w:rPr>
        <w:t>Fullan 2012, xi</w:t>
      </w:r>
      <w:r w:rsidR="005D5C05" w:rsidRPr="005D5C05">
        <w:rPr>
          <w:i w:val="0"/>
          <w:lang w:val="en-GB"/>
        </w:rPr>
        <w:t>i)</w:t>
      </w:r>
    </w:p>
    <w:p w:rsidR="009C48C2" w:rsidRDefault="009C48C2" w:rsidP="00AF6707">
      <w:pPr>
        <w:autoSpaceDE w:val="0"/>
        <w:autoSpaceDN w:val="0"/>
        <w:adjustRightInd w:val="0"/>
        <w:rPr>
          <w:rFonts w:asciiTheme="minorHAnsi" w:hAnsiTheme="minorHAnsi" w:cstheme="minorHAnsi"/>
          <w:sz w:val="22"/>
          <w:szCs w:val="22"/>
        </w:rPr>
      </w:pPr>
    </w:p>
    <w:p w:rsidR="00AF6707" w:rsidRPr="00884F88" w:rsidRDefault="009C48C2" w:rsidP="00AF6707">
      <w:pPr>
        <w:autoSpaceDE w:val="0"/>
        <w:autoSpaceDN w:val="0"/>
        <w:adjustRightInd w:val="0"/>
        <w:rPr>
          <w:rFonts w:asciiTheme="minorHAnsi" w:eastAsiaTheme="minorEastAsia" w:hAnsiTheme="minorHAnsi" w:cs="MinionPro-Regular"/>
          <w:b/>
          <w:sz w:val="22"/>
          <w:szCs w:val="22"/>
          <w:lang w:val="en-GB"/>
        </w:rPr>
      </w:pPr>
      <w:r w:rsidRPr="00884F88">
        <w:rPr>
          <w:rFonts w:asciiTheme="minorHAnsi" w:eastAsiaTheme="minorEastAsia" w:hAnsiTheme="minorHAnsi" w:cs="MinionPro-Regular"/>
          <w:b/>
          <w:sz w:val="22"/>
          <w:szCs w:val="22"/>
          <w:lang w:val="en-GB"/>
        </w:rPr>
        <w:t>National reviews of teacher education</w:t>
      </w:r>
    </w:p>
    <w:p w:rsidR="00C61A5C" w:rsidRDefault="00AF6707" w:rsidP="00CC77DC">
      <w:pPr>
        <w:pStyle w:val="ListParagraph"/>
        <w:numPr>
          <w:ilvl w:val="0"/>
          <w:numId w:val="4"/>
        </w:numPr>
        <w:autoSpaceDE w:val="0"/>
        <w:autoSpaceDN w:val="0"/>
        <w:adjustRightInd w:val="0"/>
        <w:rPr>
          <w:rFonts w:cs="MinionPro-Regular"/>
          <w:lang w:val="en-GB"/>
        </w:rPr>
      </w:pPr>
      <w:r w:rsidRPr="001E7B92">
        <w:rPr>
          <w:rFonts w:cs="MinionPro-Regular"/>
          <w:lang w:val="en-GB"/>
        </w:rPr>
        <w:t xml:space="preserve">Australia -  </w:t>
      </w:r>
      <w:r w:rsidRPr="001E7B92">
        <w:rPr>
          <w:rFonts w:cs="MinionPro-It"/>
          <w:i/>
          <w:iCs/>
          <w:lang w:val="en-GB"/>
        </w:rPr>
        <w:t>Action Now: Classroom Ready Teachers</w:t>
      </w:r>
      <w:r w:rsidRPr="001E7B92">
        <w:rPr>
          <w:rFonts w:cs="MinionPro-Regular"/>
          <w:lang w:val="en-GB"/>
        </w:rPr>
        <w:t xml:space="preserve"> (Craven et al. 2015)</w:t>
      </w:r>
    </w:p>
    <w:p w:rsidR="00AF6707" w:rsidRPr="00C61A5C" w:rsidRDefault="00F24FBF" w:rsidP="00CC77DC">
      <w:pPr>
        <w:pStyle w:val="ListParagraph"/>
        <w:numPr>
          <w:ilvl w:val="0"/>
          <w:numId w:val="4"/>
        </w:numPr>
        <w:autoSpaceDE w:val="0"/>
        <w:autoSpaceDN w:val="0"/>
        <w:adjustRightInd w:val="0"/>
        <w:rPr>
          <w:rFonts w:cs="MinionPro-Regular"/>
          <w:lang w:val="en-GB"/>
        </w:rPr>
      </w:pPr>
      <w:r>
        <w:rPr>
          <w:rFonts w:cs="MinionPro-Regular"/>
          <w:lang w:val="en-GB"/>
        </w:rPr>
        <w:t>United</w:t>
      </w:r>
      <w:r w:rsidR="00AF6707" w:rsidRPr="00C61A5C">
        <w:rPr>
          <w:rFonts w:cs="MinionPro-Regular"/>
          <w:lang w:val="en-GB"/>
        </w:rPr>
        <w:t xml:space="preserve"> States –</w:t>
      </w:r>
      <w:r w:rsidR="00C61A5C">
        <w:rPr>
          <w:rFonts w:cs="MinionPro-Regular"/>
          <w:lang w:val="en-GB"/>
        </w:rPr>
        <w:t xml:space="preserve"> </w:t>
      </w:r>
      <w:r w:rsidR="00C61A5C" w:rsidRPr="00C61A5C">
        <w:rPr>
          <w:rFonts w:cs="MinionPro-Regular"/>
          <w:i/>
          <w:lang w:val="en-GB"/>
        </w:rPr>
        <w:t>Our Future, Our Teachers</w:t>
      </w:r>
      <w:r w:rsidR="00C61A5C" w:rsidRPr="00C61A5C">
        <w:rPr>
          <w:rFonts w:cs="MinionPro-Regular"/>
          <w:lang w:val="en-GB"/>
        </w:rPr>
        <w:t xml:space="preserve"> (US Department of Education, 2011)</w:t>
      </w:r>
    </w:p>
    <w:p w:rsidR="00AF6707" w:rsidRPr="001E7B92" w:rsidRDefault="00AF6707" w:rsidP="00CC77DC">
      <w:pPr>
        <w:pStyle w:val="ListParagraph"/>
        <w:numPr>
          <w:ilvl w:val="0"/>
          <w:numId w:val="4"/>
        </w:numPr>
        <w:autoSpaceDE w:val="0"/>
        <w:autoSpaceDN w:val="0"/>
        <w:adjustRightInd w:val="0"/>
        <w:rPr>
          <w:rFonts w:cs="MinionPro-Regular"/>
          <w:lang w:val="en-GB"/>
        </w:rPr>
      </w:pPr>
      <w:r w:rsidRPr="001E7B92">
        <w:rPr>
          <w:rFonts w:cs="MinionPro-Regular"/>
          <w:lang w:val="en-GB"/>
        </w:rPr>
        <w:t xml:space="preserve">England – </w:t>
      </w:r>
      <w:r w:rsidRPr="001E7B92">
        <w:rPr>
          <w:rFonts w:cs="MinionPro-Regular"/>
          <w:i/>
          <w:lang w:val="en-GB"/>
        </w:rPr>
        <w:t>Carter Review of Initial Teacher Training</w:t>
      </w:r>
      <w:r w:rsidRPr="001E7B92">
        <w:rPr>
          <w:rFonts w:cs="MinionPro-Regular"/>
          <w:lang w:val="en-GB"/>
        </w:rPr>
        <w:t xml:space="preserve"> (Department for Education, 2015) </w:t>
      </w:r>
    </w:p>
    <w:p w:rsidR="00AF6707" w:rsidRPr="001E7B92" w:rsidRDefault="00AF6707" w:rsidP="00CC77DC">
      <w:pPr>
        <w:pStyle w:val="ListParagraph"/>
        <w:numPr>
          <w:ilvl w:val="0"/>
          <w:numId w:val="4"/>
        </w:numPr>
        <w:autoSpaceDE w:val="0"/>
        <w:autoSpaceDN w:val="0"/>
        <w:adjustRightInd w:val="0"/>
        <w:rPr>
          <w:rFonts w:cs="MinionPro-Regular"/>
          <w:lang w:val="en-GB"/>
        </w:rPr>
      </w:pPr>
      <w:r w:rsidRPr="001E7B92">
        <w:rPr>
          <w:rFonts w:cs="MinionPro-Regular"/>
          <w:lang w:val="en-GB"/>
        </w:rPr>
        <w:t xml:space="preserve">Scotland – </w:t>
      </w:r>
      <w:r w:rsidRPr="001E7B92">
        <w:rPr>
          <w:rFonts w:cs="MinionPro-Regular"/>
          <w:i/>
          <w:lang w:val="en-GB"/>
        </w:rPr>
        <w:t>Teaching Scotland’s Future</w:t>
      </w:r>
      <w:r w:rsidRPr="001E7B92">
        <w:rPr>
          <w:rFonts w:cs="MinionPro-Regular"/>
          <w:lang w:val="en-GB"/>
        </w:rPr>
        <w:t xml:space="preserve"> (Donaldson, 2011)</w:t>
      </w:r>
    </w:p>
    <w:p w:rsidR="00AF6707" w:rsidRPr="001E7B92" w:rsidRDefault="00AF6707" w:rsidP="00CC77DC">
      <w:pPr>
        <w:pStyle w:val="ListParagraph"/>
        <w:numPr>
          <w:ilvl w:val="0"/>
          <w:numId w:val="4"/>
        </w:numPr>
        <w:autoSpaceDE w:val="0"/>
        <w:autoSpaceDN w:val="0"/>
        <w:adjustRightInd w:val="0"/>
        <w:rPr>
          <w:rFonts w:cs="MinionPro-Regular"/>
          <w:lang w:val="en-GB"/>
        </w:rPr>
      </w:pPr>
      <w:r w:rsidRPr="001E7B92">
        <w:rPr>
          <w:rFonts w:cs="MinionPro-Regular"/>
          <w:lang w:val="en-GB"/>
        </w:rPr>
        <w:t xml:space="preserve">Northern Ireland - </w:t>
      </w:r>
      <w:r w:rsidRPr="001E7B92">
        <w:rPr>
          <w:rFonts w:eastAsia="Arial Unicode MS" w:cs="Times New Roman"/>
          <w:bCs/>
          <w:i/>
          <w:iCs/>
          <w:bdr w:val="nil"/>
        </w:rPr>
        <w:t xml:space="preserve">Aspiring to Excellence </w:t>
      </w:r>
      <w:r w:rsidRPr="001E7B92">
        <w:rPr>
          <w:rFonts w:eastAsia="Arial Unicode MS" w:cs="Times New Roman"/>
          <w:bdr w:val="nil"/>
        </w:rPr>
        <w:t xml:space="preserve"> </w:t>
      </w:r>
      <w:r w:rsidRPr="001E7B92">
        <w:rPr>
          <w:rFonts w:cs="MinionPro-Regular"/>
          <w:lang w:val="en-GB"/>
        </w:rPr>
        <w:t xml:space="preserve">(Sahlberg et al. 2014) </w:t>
      </w:r>
    </w:p>
    <w:p w:rsidR="00AF6707" w:rsidRPr="001E7B92" w:rsidRDefault="00AF6707" w:rsidP="00CC77DC">
      <w:pPr>
        <w:pStyle w:val="ListParagraph"/>
        <w:numPr>
          <w:ilvl w:val="0"/>
          <w:numId w:val="4"/>
        </w:numPr>
        <w:autoSpaceDE w:val="0"/>
        <w:autoSpaceDN w:val="0"/>
        <w:adjustRightInd w:val="0"/>
        <w:rPr>
          <w:rFonts w:cs="MinionPro-Regular"/>
          <w:lang w:val="en-GB"/>
        </w:rPr>
      </w:pPr>
      <w:r w:rsidRPr="001E7B92">
        <w:rPr>
          <w:rFonts w:cs="MinionPro-Regular"/>
          <w:lang w:val="en-GB"/>
        </w:rPr>
        <w:t xml:space="preserve">Wales – </w:t>
      </w:r>
      <w:r w:rsidRPr="001E7B92">
        <w:rPr>
          <w:rFonts w:eastAsia="Arial Unicode MS" w:cs="Times New Roman"/>
          <w:bCs/>
          <w:i/>
          <w:iCs/>
          <w:bdr w:val="nil"/>
        </w:rPr>
        <w:t xml:space="preserve">A Review of Initial Teacher Training in Wales </w:t>
      </w:r>
      <w:r w:rsidRPr="001E7B92">
        <w:rPr>
          <w:rFonts w:eastAsia="Arial Unicode MS" w:cs="Times New Roman"/>
          <w:bCs/>
          <w:iCs/>
          <w:bdr w:val="nil"/>
        </w:rPr>
        <w:t>(</w:t>
      </w:r>
      <w:r w:rsidRPr="001E7B92">
        <w:rPr>
          <w:rFonts w:cs="MinionPro-Regular"/>
          <w:lang w:val="en-GB"/>
        </w:rPr>
        <w:t xml:space="preserve">Tabberer, 2013); </w:t>
      </w:r>
      <w:r w:rsidRPr="001E7B92">
        <w:rPr>
          <w:rFonts w:cs="Times New Roman"/>
          <w:i/>
          <w:color w:val="000000"/>
        </w:rPr>
        <w:t>Teaching Tomorrow’s Teachers</w:t>
      </w:r>
      <w:r w:rsidRPr="001E7B92">
        <w:rPr>
          <w:rFonts w:cs="MinionPro-Regular"/>
          <w:lang w:val="en-GB"/>
        </w:rPr>
        <w:t xml:space="preserve"> (Furlong, 2015)</w:t>
      </w:r>
    </w:p>
    <w:p w:rsidR="00AF6707" w:rsidRPr="001E7B92" w:rsidRDefault="00AF6707" w:rsidP="00CC77DC">
      <w:pPr>
        <w:pStyle w:val="ListParagraph"/>
        <w:numPr>
          <w:ilvl w:val="0"/>
          <w:numId w:val="4"/>
        </w:numPr>
        <w:autoSpaceDE w:val="0"/>
        <w:autoSpaceDN w:val="0"/>
        <w:adjustRightInd w:val="0"/>
        <w:rPr>
          <w:rFonts w:cs="DINPro-Regular"/>
          <w:lang w:val="en-GB"/>
        </w:rPr>
      </w:pPr>
      <w:r w:rsidRPr="001E7B92">
        <w:rPr>
          <w:rFonts w:cs="MinionPro-Regular"/>
          <w:lang w:val="en-GB"/>
        </w:rPr>
        <w:t xml:space="preserve">Ireland – </w:t>
      </w:r>
      <w:r w:rsidRPr="001E7B92">
        <w:rPr>
          <w:rFonts w:cs="DINPro-Regular"/>
          <w:i/>
          <w:lang w:val="en-GB"/>
        </w:rPr>
        <w:t>Report of the International Review Panel on the Structure of Initial Teacher Education Provision in Ireland</w:t>
      </w:r>
      <w:r w:rsidRPr="001E7B92">
        <w:rPr>
          <w:rFonts w:cs="MinionPro-Regular"/>
          <w:i/>
          <w:lang w:val="en-GB"/>
        </w:rPr>
        <w:t xml:space="preserve"> </w:t>
      </w:r>
      <w:r w:rsidRPr="001E7B92">
        <w:rPr>
          <w:rFonts w:cs="MinionPro-Regular"/>
          <w:lang w:val="en-GB"/>
        </w:rPr>
        <w:t>(Sahlberg, Furlong and Munn, 2012)</w:t>
      </w:r>
    </w:p>
    <w:p w:rsidR="00594D94" w:rsidRDefault="00594D94" w:rsidP="00884F88">
      <w:pPr>
        <w:autoSpaceDE w:val="0"/>
        <w:autoSpaceDN w:val="0"/>
        <w:adjustRightInd w:val="0"/>
        <w:jc w:val="both"/>
        <w:rPr>
          <w:rFonts w:asciiTheme="minorHAnsi" w:eastAsiaTheme="minorEastAsia" w:hAnsiTheme="minorHAnsi" w:cs="BemboMTPro-Regular"/>
          <w:sz w:val="22"/>
          <w:szCs w:val="22"/>
          <w:lang w:val="en-GB"/>
        </w:rPr>
      </w:pPr>
    </w:p>
    <w:p w:rsidR="009C48C2" w:rsidRPr="009C48C2" w:rsidRDefault="00BA0CCF" w:rsidP="00884F88">
      <w:pPr>
        <w:autoSpaceDE w:val="0"/>
        <w:autoSpaceDN w:val="0"/>
        <w:adjustRightInd w:val="0"/>
        <w:jc w:val="both"/>
        <w:rPr>
          <w:rFonts w:asciiTheme="minorHAnsi" w:eastAsiaTheme="minorEastAsia" w:hAnsiTheme="minorHAnsi" w:cs="BemboMTPro-Regular"/>
          <w:sz w:val="22"/>
          <w:szCs w:val="22"/>
          <w:lang w:val="en-GB"/>
        </w:rPr>
      </w:pPr>
      <w:r>
        <w:rPr>
          <w:rFonts w:asciiTheme="minorHAnsi" w:eastAsiaTheme="minorEastAsia" w:hAnsiTheme="minorHAnsi" w:cs="BemboMTPro-Regular"/>
          <w:sz w:val="22"/>
          <w:szCs w:val="22"/>
          <w:lang w:val="en-GB"/>
        </w:rPr>
        <w:lastRenderedPageBreak/>
        <w:t xml:space="preserve">Policy interest in teacher preparation is not new. </w:t>
      </w:r>
      <w:r w:rsidR="009C48C2" w:rsidRPr="009C48C2">
        <w:rPr>
          <w:rFonts w:asciiTheme="minorHAnsi" w:eastAsiaTheme="minorEastAsia" w:hAnsiTheme="minorHAnsi" w:cs="BemboMTPro-Regular"/>
          <w:sz w:val="22"/>
          <w:szCs w:val="22"/>
          <w:lang w:val="en-GB"/>
        </w:rPr>
        <w:t xml:space="preserve">Teachers are </w:t>
      </w:r>
      <w:r w:rsidR="00195752">
        <w:rPr>
          <w:rFonts w:asciiTheme="minorHAnsi" w:eastAsiaTheme="minorEastAsia" w:hAnsiTheme="minorHAnsi" w:cs="BemboMTPro-Regular"/>
          <w:sz w:val="22"/>
          <w:szCs w:val="22"/>
          <w:lang w:val="en-GB"/>
        </w:rPr>
        <w:t xml:space="preserve">often </w:t>
      </w:r>
      <w:r w:rsidR="009C48C2" w:rsidRPr="009C48C2">
        <w:rPr>
          <w:rFonts w:asciiTheme="minorHAnsi" w:eastAsiaTheme="minorEastAsia" w:hAnsiTheme="minorHAnsi" w:cs="BemboMTPro-Regular"/>
          <w:sz w:val="22"/>
          <w:szCs w:val="22"/>
          <w:lang w:val="en-GB"/>
        </w:rPr>
        <w:t xml:space="preserve">positioned as a source of salvation and blame (Weisburg et al, 2009), as ‘heroes and villains’ (Robertson, 2013:78). </w:t>
      </w:r>
      <w:r w:rsidR="009C48C2" w:rsidRPr="009C48C2">
        <w:rPr>
          <w:rFonts w:asciiTheme="minorHAnsi" w:hAnsiTheme="minorHAnsi" w:cstheme="minorHAnsi"/>
          <w:sz w:val="22"/>
          <w:szCs w:val="22"/>
        </w:rPr>
        <w:t xml:space="preserve">In contemporary policy discourse, the problem of teacher quality is </w:t>
      </w:r>
      <w:r>
        <w:rPr>
          <w:rFonts w:asciiTheme="minorHAnsi" w:hAnsiTheme="minorHAnsi" w:cstheme="minorHAnsi"/>
          <w:sz w:val="22"/>
          <w:szCs w:val="22"/>
        </w:rPr>
        <w:t xml:space="preserve">further </w:t>
      </w:r>
      <w:r w:rsidR="009C48C2" w:rsidRPr="009C48C2">
        <w:rPr>
          <w:rFonts w:asciiTheme="minorHAnsi" w:hAnsiTheme="minorHAnsi" w:cstheme="minorHAnsi"/>
          <w:sz w:val="22"/>
          <w:szCs w:val="22"/>
        </w:rPr>
        <w:t>entangled with enduring ‘wicked problems’ demanding urgent action. In the UK, this is evident in high profile multi-level strategies to tackle the ‘equity problem’ (closing the attainment gap</w:t>
      </w:r>
      <w:r w:rsidR="00CB7EDB">
        <w:rPr>
          <w:rFonts w:asciiTheme="minorHAnsi" w:hAnsiTheme="minorHAnsi" w:cstheme="minorHAnsi"/>
          <w:sz w:val="22"/>
          <w:szCs w:val="22"/>
        </w:rPr>
        <w:t xml:space="preserve"> </w:t>
      </w:r>
      <w:r w:rsidR="00CB7EDB" w:rsidRPr="005D492B">
        <w:rPr>
          <w:rFonts w:asciiTheme="minorHAnsi" w:eastAsiaTheme="minorEastAsia" w:hAnsiTheme="minorHAnsi" w:cs="BemboMTPro-Regular"/>
          <w:color w:val="auto"/>
          <w:sz w:val="22"/>
          <w:szCs w:val="22"/>
          <w:lang w:val="en-GB"/>
        </w:rPr>
        <w:t>between less advantaged school students and their more afflue</w:t>
      </w:r>
      <w:r w:rsidR="00CB7EDB">
        <w:rPr>
          <w:rFonts w:asciiTheme="minorHAnsi" w:eastAsiaTheme="minorEastAsia" w:hAnsiTheme="minorHAnsi" w:cs="BemboMTPro-Regular"/>
          <w:color w:val="auto"/>
          <w:sz w:val="22"/>
          <w:szCs w:val="22"/>
          <w:lang w:val="en-GB"/>
        </w:rPr>
        <w:t>nt peers e.g. within targeted ‘opportunity areas’</w:t>
      </w:r>
      <w:r w:rsidR="009C48C2" w:rsidRPr="009C48C2">
        <w:rPr>
          <w:rFonts w:asciiTheme="minorHAnsi" w:hAnsiTheme="minorHAnsi" w:cstheme="minorHAnsi"/>
          <w:sz w:val="22"/>
          <w:szCs w:val="22"/>
        </w:rPr>
        <w:t>), the ‘urban problem’, the ‘Northern problem’</w:t>
      </w:r>
      <w:r w:rsidR="009C48C2" w:rsidRPr="005330FF">
        <w:rPr>
          <w:rFonts w:asciiTheme="minorHAnsi" w:hAnsiTheme="minorHAnsi" w:cstheme="minorHAnsi"/>
          <w:color w:val="auto"/>
          <w:sz w:val="22"/>
          <w:szCs w:val="22"/>
        </w:rPr>
        <w:t xml:space="preserve">, </w:t>
      </w:r>
      <w:r w:rsidR="00193841" w:rsidRPr="005330FF">
        <w:rPr>
          <w:rFonts w:asciiTheme="minorHAnsi" w:hAnsiTheme="minorHAnsi" w:cstheme="minorHAnsi"/>
          <w:color w:val="auto"/>
          <w:sz w:val="22"/>
          <w:szCs w:val="22"/>
        </w:rPr>
        <w:t>the problem of social mobility</w:t>
      </w:r>
      <w:r w:rsidR="00193841">
        <w:rPr>
          <w:rFonts w:asciiTheme="minorHAnsi" w:hAnsiTheme="minorHAnsi" w:cstheme="minorHAnsi"/>
          <w:sz w:val="22"/>
          <w:szCs w:val="22"/>
        </w:rPr>
        <w:t xml:space="preserve">, </w:t>
      </w:r>
      <w:r w:rsidR="009C48C2" w:rsidRPr="009C48C2">
        <w:rPr>
          <w:rFonts w:asciiTheme="minorHAnsi" w:hAnsiTheme="minorHAnsi" w:cstheme="minorHAnsi"/>
          <w:sz w:val="22"/>
          <w:szCs w:val="22"/>
        </w:rPr>
        <w:t xml:space="preserve">the problem of teacher supply. Recognition of a high degree of entanglement limits prospects for ‘fixing’ </w:t>
      </w:r>
      <w:r w:rsidR="009C48C2" w:rsidRPr="009C48C2">
        <w:rPr>
          <w:rFonts w:asciiTheme="minorHAnsi" w:hAnsiTheme="minorHAnsi" w:cstheme="minorHAnsi"/>
          <w:i/>
          <w:sz w:val="22"/>
          <w:szCs w:val="22"/>
        </w:rPr>
        <w:t>the</w:t>
      </w:r>
      <w:r w:rsidR="009C48C2" w:rsidRPr="009C48C2">
        <w:rPr>
          <w:rFonts w:asciiTheme="minorHAnsi" w:hAnsiTheme="minorHAnsi" w:cstheme="minorHAnsi"/>
          <w:sz w:val="22"/>
          <w:szCs w:val="22"/>
        </w:rPr>
        <w:t xml:space="preserve"> problem, to the frustration of policy analysts and policy makers</w:t>
      </w:r>
      <w:r w:rsidR="00CB7EDB">
        <w:rPr>
          <w:rFonts w:asciiTheme="minorHAnsi" w:hAnsiTheme="minorHAnsi" w:cstheme="minorHAnsi"/>
          <w:sz w:val="22"/>
          <w:szCs w:val="22"/>
        </w:rPr>
        <w:t xml:space="preserve"> operating within </w:t>
      </w:r>
      <w:r w:rsidR="00857A65">
        <w:rPr>
          <w:rFonts w:asciiTheme="minorHAnsi" w:hAnsiTheme="minorHAnsi" w:cstheme="minorHAnsi"/>
          <w:sz w:val="22"/>
          <w:szCs w:val="22"/>
        </w:rPr>
        <w:t>an ascendant</w:t>
      </w:r>
      <w:r w:rsidR="00CB7EDB">
        <w:rPr>
          <w:rFonts w:asciiTheme="minorHAnsi" w:hAnsiTheme="minorHAnsi" w:cstheme="minorHAnsi"/>
          <w:sz w:val="22"/>
          <w:szCs w:val="22"/>
        </w:rPr>
        <w:t xml:space="preserve"> teacher effectiveness</w:t>
      </w:r>
      <w:r w:rsidR="00F50F31">
        <w:rPr>
          <w:rFonts w:asciiTheme="minorHAnsi" w:hAnsiTheme="minorHAnsi" w:cstheme="minorHAnsi"/>
          <w:sz w:val="22"/>
          <w:szCs w:val="22"/>
        </w:rPr>
        <w:t xml:space="preserve"> paradigm</w:t>
      </w:r>
      <w:r w:rsidR="009C48C2" w:rsidRPr="009C48C2">
        <w:rPr>
          <w:rFonts w:asciiTheme="minorHAnsi" w:hAnsiTheme="minorHAnsi" w:cstheme="minorHAnsi"/>
          <w:sz w:val="22"/>
          <w:szCs w:val="22"/>
        </w:rPr>
        <w:t>.</w:t>
      </w:r>
      <w:r w:rsidR="00193841">
        <w:rPr>
          <w:rFonts w:asciiTheme="minorHAnsi" w:hAnsiTheme="minorHAnsi" w:cstheme="minorHAnsi"/>
          <w:sz w:val="22"/>
          <w:szCs w:val="22"/>
        </w:rPr>
        <w:t xml:space="preserve"> </w:t>
      </w:r>
    </w:p>
    <w:p w:rsidR="009C48C2" w:rsidRPr="00594D94" w:rsidRDefault="009C48C2" w:rsidP="00594D94">
      <w:pPr>
        <w:ind w:left="357"/>
        <w:rPr>
          <w:rFonts w:asciiTheme="minorHAnsi" w:hAnsiTheme="minorHAnsi" w:cstheme="minorHAnsi"/>
          <w:sz w:val="18"/>
          <w:szCs w:val="22"/>
        </w:rPr>
      </w:pPr>
    </w:p>
    <w:p w:rsidR="009C48C2" w:rsidRPr="009C48C2" w:rsidRDefault="009C48C2" w:rsidP="009C48C2">
      <w:pPr>
        <w:pStyle w:val="Quote"/>
        <w:spacing w:before="0" w:after="0" w:line="240" w:lineRule="auto"/>
      </w:pPr>
      <w:r w:rsidRPr="009C48C2">
        <w:t>Through these dual discourses (the discourse of blame/derision and the discourse of the centrality of the teacher),</w:t>
      </w:r>
      <w:r w:rsidRPr="009C48C2">
        <w:rPr>
          <w:rStyle w:val="Emphasis"/>
          <w:i/>
          <w:iCs/>
          <w:color w:val="000000" w:themeColor="text1"/>
        </w:rPr>
        <w:t xml:space="preserve"> </w:t>
      </w:r>
      <w:r w:rsidRPr="009C48C2">
        <w:t xml:space="preserve">teachers have been constructed as being deficient and simultaneously shouldered with the responsibility of fixing societal and school problems </w:t>
      </w:r>
      <w:r w:rsidRPr="005D5C05">
        <w:rPr>
          <w:i w:val="0"/>
        </w:rPr>
        <w:t>(Larsen 2010</w:t>
      </w:r>
      <w:r w:rsidRPr="005D5C05">
        <w:rPr>
          <w:rStyle w:val="Emphasis"/>
          <w:i/>
          <w:iCs/>
          <w:color w:val="000000" w:themeColor="text1"/>
        </w:rPr>
        <w:t>:</w:t>
      </w:r>
      <w:r w:rsidRPr="005D5C05">
        <w:rPr>
          <w:i w:val="0"/>
        </w:rPr>
        <w:t xml:space="preserve"> 208)</w:t>
      </w:r>
    </w:p>
    <w:p w:rsidR="00EB3F81" w:rsidRPr="00594D94" w:rsidRDefault="00EB3F81" w:rsidP="005D492B">
      <w:pPr>
        <w:autoSpaceDE w:val="0"/>
        <w:autoSpaceDN w:val="0"/>
        <w:adjustRightInd w:val="0"/>
        <w:rPr>
          <w:rFonts w:ascii="BemboMTPro-Regular" w:eastAsiaTheme="minorEastAsia" w:hAnsi="BemboMTPro-Regular" w:cs="BemboMTPro-Regular"/>
          <w:color w:val="auto"/>
          <w:sz w:val="18"/>
          <w:szCs w:val="22"/>
          <w:lang w:val="en-GB"/>
        </w:rPr>
      </w:pPr>
    </w:p>
    <w:p w:rsidR="003A30B1" w:rsidRPr="003A30B1" w:rsidRDefault="003A30B1" w:rsidP="00DF780B">
      <w:pPr>
        <w:jc w:val="both"/>
        <w:rPr>
          <w:rFonts w:asciiTheme="minorHAnsi" w:hAnsiTheme="minorHAnsi" w:cstheme="minorHAnsi"/>
          <w:b/>
          <w:sz w:val="22"/>
          <w:szCs w:val="22"/>
        </w:rPr>
      </w:pPr>
      <w:r w:rsidRPr="003A30B1">
        <w:rPr>
          <w:rFonts w:asciiTheme="minorHAnsi" w:hAnsiTheme="minorHAnsi" w:cstheme="minorHAnsi"/>
          <w:b/>
          <w:sz w:val="22"/>
          <w:szCs w:val="22"/>
        </w:rPr>
        <w:t>Policy deliberation</w:t>
      </w:r>
    </w:p>
    <w:p w:rsidR="007B4E6B" w:rsidRDefault="00594D94" w:rsidP="00DF780B">
      <w:pPr>
        <w:jc w:val="both"/>
        <w:rPr>
          <w:rFonts w:asciiTheme="minorHAnsi" w:hAnsiTheme="minorHAnsi" w:cstheme="minorHAnsi"/>
          <w:sz w:val="22"/>
          <w:szCs w:val="22"/>
        </w:rPr>
      </w:pPr>
      <w:r w:rsidRPr="009064F5">
        <w:rPr>
          <w:rFonts w:asciiTheme="minorHAnsi" w:eastAsiaTheme="minorEastAsia" w:hAnsiTheme="minorHAnsi"/>
          <w:sz w:val="22"/>
        </w:rPr>
        <w:t xml:space="preserve">Policy proposals give ‘shape’ to or ‘constitute problems’ (Bacchi, 2009:30).  Policy interventions are not simply responses to self-evident problems but set the terms of reference for thinking about an issue. Policy texts </w:t>
      </w:r>
      <w:r w:rsidRPr="009064F5">
        <w:rPr>
          <w:rFonts w:asciiTheme="minorHAnsi" w:hAnsiTheme="minorHAnsi"/>
          <w:sz w:val="22"/>
        </w:rPr>
        <w:t>work to build collective understandings of how things are and wh</w:t>
      </w:r>
      <w:r>
        <w:rPr>
          <w:rFonts w:asciiTheme="minorHAnsi" w:hAnsiTheme="minorHAnsi"/>
          <w:sz w:val="22"/>
        </w:rPr>
        <w:t xml:space="preserve">at really matters. </w:t>
      </w:r>
      <w:r w:rsidR="00375A40">
        <w:rPr>
          <w:rFonts w:asciiTheme="minorHAnsi" w:hAnsiTheme="minorHAnsi" w:cstheme="minorHAnsi"/>
          <w:sz w:val="22"/>
          <w:szCs w:val="22"/>
        </w:rPr>
        <w:t xml:space="preserve">An examination of international trends in policy talk </w:t>
      </w:r>
      <w:r w:rsidR="00A42C0D">
        <w:rPr>
          <w:rFonts w:asciiTheme="minorHAnsi" w:hAnsiTheme="minorHAnsi" w:cstheme="minorHAnsi"/>
          <w:sz w:val="22"/>
          <w:szCs w:val="22"/>
        </w:rPr>
        <w:t xml:space="preserve">and academic discourse </w:t>
      </w:r>
      <w:r w:rsidR="00375A40">
        <w:rPr>
          <w:rFonts w:asciiTheme="minorHAnsi" w:hAnsiTheme="minorHAnsi" w:cstheme="minorHAnsi"/>
          <w:sz w:val="22"/>
          <w:szCs w:val="22"/>
        </w:rPr>
        <w:t>reveals a series of recurring dichotomies</w:t>
      </w:r>
      <w:r w:rsidR="00361EFE">
        <w:rPr>
          <w:rFonts w:asciiTheme="minorHAnsi" w:hAnsiTheme="minorHAnsi" w:cstheme="minorHAnsi"/>
          <w:sz w:val="22"/>
          <w:szCs w:val="22"/>
        </w:rPr>
        <w:t xml:space="preserve"> that illustrate the various ways in which the teacher quality problem has been framed</w:t>
      </w:r>
      <w:r w:rsidR="005D5C05">
        <w:rPr>
          <w:rFonts w:asciiTheme="minorHAnsi" w:hAnsiTheme="minorHAnsi" w:cstheme="minorHAnsi"/>
          <w:sz w:val="22"/>
          <w:szCs w:val="22"/>
        </w:rPr>
        <w:t>. These frames are underpinned by d</w:t>
      </w:r>
      <w:r w:rsidR="006C29D0">
        <w:rPr>
          <w:rFonts w:asciiTheme="minorHAnsi" w:hAnsiTheme="minorHAnsi" w:cstheme="minorHAnsi"/>
          <w:sz w:val="22"/>
          <w:szCs w:val="22"/>
        </w:rPr>
        <w:t xml:space="preserve">ifferent notions of teacher expertise </w:t>
      </w:r>
      <w:r w:rsidR="005D5C05">
        <w:rPr>
          <w:rFonts w:asciiTheme="minorHAnsi" w:hAnsiTheme="minorHAnsi" w:cstheme="minorHAnsi"/>
          <w:sz w:val="22"/>
          <w:szCs w:val="22"/>
        </w:rPr>
        <w:t xml:space="preserve">and </w:t>
      </w:r>
      <w:r w:rsidR="006C29D0">
        <w:rPr>
          <w:rFonts w:asciiTheme="minorHAnsi" w:hAnsiTheme="minorHAnsi" w:cstheme="minorHAnsi"/>
          <w:sz w:val="22"/>
          <w:szCs w:val="22"/>
        </w:rPr>
        <w:t>give rise to</w:t>
      </w:r>
      <w:r w:rsidR="00361EFE">
        <w:rPr>
          <w:rFonts w:asciiTheme="minorHAnsi" w:hAnsiTheme="minorHAnsi" w:cstheme="minorHAnsi"/>
          <w:sz w:val="22"/>
          <w:szCs w:val="22"/>
        </w:rPr>
        <w:t xml:space="preserve"> different accountability </w:t>
      </w:r>
      <w:r w:rsidR="00933E1F">
        <w:rPr>
          <w:rFonts w:asciiTheme="minorHAnsi" w:hAnsiTheme="minorHAnsi" w:cstheme="minorHAnsi"/>
          <w:sz w:val="22"/>
          <w:szCs w:val="22"/>
        </w:rPr>
        <w:t xml:space="preserve">mechanisms </w:t>
      </w:r>
      <w:r w:rsidR="00884F88">
        <w:rPr>
          <w:rFonts w:asciiTheme="minorHAnsi" w:hAnsiTheme="minorHAnsi" w:cstheme="minorHAnsi"/>
          <w:sz w:val="22"/>
          <w:szCs w:val="22"/>
        </w:rPr>
        <w:t>(Table 1)</w:t>
      </w:r>
      <w:r w:rsidR="00375A40">
        <w:rPr>
          <w:rFonts w:asciiTheme="minorHAnsi" w:hAnsiTheme="minorHAnsi" w:cstheme="minorHAnsi"/>
          <w:sz w:val="22"/>
          <w:szCs w:val="22"/>
        </w:rPr>
        <w:t xml:space="preserve">. </w:t>
      </w:r>
    </w:p>
    <w:p w:rsidR="00884F88" w:rsidRDefault="00884F88" w:rsidP="00DF780B">
      <w:pPr>
        <w:jc w:val="both"/>
        <w:rPr>
          <w:rFonts w:asciiTheme="minorHAnsi" w:hAnsiTheme="minorHAnsi" w:cstheme="minorHAnsi"/>
          <w:sz w:val="22"/>
          <w:szCs w:val="22"/>
        </w:rPr>
      </w:pPr>
    </w:p>
    <w:p w:rsidR="003A30B1" w:rsidRPr="00884F88" w:rsidRDefault="00884F88" w:rsidP="00884F88">
      <w:pPr>
        <w:pStyle w:val="Caption"/>
        <w:rPr>
          <w:rFonts w:cstheme="minorHAnsi"/>
          <w:b/>
          <w:color w:val="auto"/>
          <w:sz w:val="24"/>
          <w:szCs w:val="22"/>
        </w:rPr>
      </w:pPr>
      <w:r>
        <w:t xml:space="preserve">Table </w:t>
      </w:r>
      <w:r w:rsidR="00170245">
        <w:fldChar w:fldCharType="begin"/>
      </w:r>
      <w:r w:rsidR="00170245">
        <w:instrText xml:space="preserve"> SEQ Table \* ARABIC </w:instrText>
      </w:r>
      <w:r w:rsidR="00170245">
        <w:fldChar w:fldCharType="separate"/>
      </w:r>
      <w:r w:rsidR="00933E1F">
        <w:rPr>
          <w:noProof/>
        </w:rPr>
        <w:t>1</w:t>
      </w:r>
      <w:r w:rsidR="00170245">
        <w:rPr>
          <w:noProof/>
        </w:rPr>
        <w:fldChar w:fldCharType="end"/>
      </w:r>
      <w:r>
        <w:t xml:space="preserve"> Policy logic</w:t>
      </w:r>
    </w:p>
    <w:tbl>
      <w:tblPr>
        <w:tblStyle w:val="TableGrid"/>
        <w:tblW w:w="0" w:type="auto"/>
        <w:tblLook w:val="04A0" w:firstRow="1" w:lastRow="0" w:firstColumn="1" w:lastColumn="0" w:noHBand="0" w:noVBand="1"/>
      </w:tblPr>
      <w:tblGrid>
        <w:gridCol w:w="5395"/>
        <w:gridCol w:w="5395"/>
      </w:tblGrid>
      <w:tr w:rsidR="003A30B1" w:rsidRPr="00884F88" w:rsidTr="00807BF9">
        <w:tc>
          <w:tcPr>
            <w:tcW w:w="5395" w:type="dxa"/>
            <w:tcBorders>
              <w:bottom w:val="nil"/>
            </w:tcBorders>
          </w:tcPr>
          <w:p w:rsidR="003A30B1" w:rsidRPr="00884F88" w:rsidRDefault="00195752" w:rsidP="00DF780B">
            <w:pPr>
              <w:jc w:val="both"/>
              <w:rPr>
                <w:rFonts w:asciiTheme="minorHAnsi" w:hAnsiTheme="minorHAnsi" w:cstheme="minorHAnsi"/>
                <w:b/>
                <w:sz w:val="20"/>
                <w:szCs w:val="20"/>
              </w:rPr>
            </w:pPr>
            <w:r w:rsidRPr="00884F88">
              <w:rPr>
                <w:rFonts w:asciiTheme="minorHAnsi" w:hAnsiTheme="minorHAnsi" w:cstheme="minorHAnsi"/>
                <w:b/>
                <w:sz w:val="20"/>
                <w:szCs w:val="20"/>
              </w:rPr>
              <w:t>Professional project</w:t>
            </w:r>
          </w:p>
        </w:tc>
        <w:tc>
          <w:tcPr>
            <w:tcW w:w="5395" w:type="dxa"/>
            <w:tcBorders>
              <w:bottom w:val="nil"/>
            </w:tcBorders>
          </w:tcPr>
          <w:p w:rsidR="003A30B1" w:rsidRPr="00884F88" w:rsidRDefault="00195752" w:rsidP="00DF780B">
            <w:pPr>
              <w:jc w:val="both"/>
              <w:rPr>
                <w:rFonts w:asciiTheme="minorHAnsi" w:hAnsiTheme="minorHAnsi" w:cstheme="minorHAnsi"/>
                <w:b/>
                <w:sz w:val="20"/>
                <w:szCs w:val="20"/>
              </w:rPr>
            </w:pPr>
            <w:r w:rsidRPr="00884F88">
              <w:rPr>
                <w:rFonts w:asciiTheme="minorHAnsi" w:hAnsiTheme="minorHAnsi" w:cstheme="minorHAnsi"/>
                <w:b/>
                <w:sz w:val="20"/>
                <w:szCs w:val="20"/>
              </w:rPr>
              <w:t>New modernisers</w:t>
            </w:r>
          </w:p>
        </w:tc>
      </w:tr>
      <w:tr w:rsidR="003A30B1" w:rsidRPr="00884F88" w:rsidTr="00807BF9">
        <w:tc>
          <w:tcPr>
            <w:tcW w:w="5395" w:type="dxa"/>
            <w:tcBorders>
              <w:top w:val="nil"/>
              <w:left w:val="single" w:sz="4" w:space="0" w:color="auto"/>
              <w:bottom w:val="nil"/>
              <w:right w:val="single" w:sz="4" w:space="0" w:color="auto"/>
            </w:tcBorders>
          </w:tcPr>
          <w:p w:rsidR="003A30B1" w:rsidRPr="00884F88" w:rsidRDefault="003A30B1" w:rsidP="00DF780B">
            <w:pPr>
              <w:jc w:val="both"/>
              <w:rPr>
                <w:rFonts w:asciiTheme="minorHAnsi" w:hAnsiTheme="minorHAnsi" w:cstheme="minorHAnsi"/>
                <w:sz w:val="20"/>
                <w:szCs w:val="20"/>
              </w:rPr>
            </w:pPr>
            <w:r w:rsidRPr="00884F88">
              <w:rPr>
                <w:rFonts w:asciiTheme="minorHAnsi" w:hAnsiTheme="minorHAnsi" w:cstheme="minorHAnsi"/>
                <w:sz w:val="20"/>
                <w:szCs w:val="20"/>
              </w:rPr>
              <w:t>Regulation</w:t>
            </w:r>
          </w:p>
        </w:tc>
        <w:tc>
          <w:tcPr>
            <w:tcW w:w="5395" w:type="dxa"/>
            <w:tcBorders>
              <w:top w:val="nil"/>
              <w:left w:val="single" w:sz="4" w:space="0" w:color="auto"/>
              <w:bottom w:val="nil"/>
              <w:right w:val="single" w:sz="4" w:space="0" w:color="auto"/>
            </w:tcBorders>
          </w:tcPr>
          <w:p w:rsidR="003A30B1" w:rsidRPr="00884F88" w:rsidRDefault="003A30B1" w:rsidP="00DF780B">
            <w:pPr>
              <w:jc w:val="both"/>
              <w:rPr>
                <w:rFonts w:asciiTheme="minorHAnsi" w:hAnsiTheme="minorHAnsi" w:cstheme="minorHAnsi"/>
                <w:sz w:val="20"/>
                <w:szCs w:val="20"/>
              </w:rPr>
            </w:pPr>
            <w:r w:rsidRPr="00884F88">
              <w:rPr>
                <w:rFonts w:asciiTheme="minorHAnsi" w:hAnsiTheme="minorHAnsi" w:cstheme="minorHAnsi"/>
                <w:sz w:val="20"/>
                <w:szCs w:val="20"/>
              </w:rPr>
              <w:t>Deregulation</w:t>
            </w:r>
          </w:p>
        </w:tc>
      </w:tr>
      <w:tr w:rsidR="003A30B1" w:rsidRPr="00884F88" w:rsidTr="00807BF9">
        <w:tc>
          <w:tcPr>
            <w:tcW w:w="5395" w:type="dxa"/>
            <w:tcBorders>
              <w:top w:val="nil"/>
              <w:left w:val="single" w:sz="4" w:space="0" w:color="auto"/>
              <w:bottom w:val="nil"/>
              <w:right w:val="single" w:sz="4" w:space="0" w:color="auto"/>
            </w:tcBorders>
          </w:tcPr>
          <w:p w:rsidR="003A30B1"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University</w:t>
            </w:r>
          </w:p>
        </w:tc>
        <w:tc>
          <w:tcPr>
            <w:tcW w:w="5395" w:type="dxa"/>
            <w:tcBorders>
              <w:top w:val="nil"/>
              <w:left w:val="single" w:sz="4" w:space="0" w:color="auto"/>
              <w:bottom w:val="nil"/>
              <w:right w:val="single" w:sz="4" w:space="0" w:color="auto"/>
            </w:tcBorders>
          </w:tcPr>
          <w:p w:rsidR="003A30B1"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Multiple sites</w:t>
            </w:r>
          </w:p>
        </w:tc>
      </w:tr>
      <w:tr w:rsidR="003A30B1" w:rsidRPr="00884F88" w:rsidTr="00807BF9">
        <w:tc>
          <w:tcPr>
            <w:tcW w:w="5395" w:type="dxa"/>
            <w:tcBorders>
              <w:top w:val="nil"/>
              <w:left w:val="single" w:sz="4" w:space="0" w:color="auto"/>
              <w:bottom w:val="nil"/>
              <w:right w:val="single" w:sz="4" w:space="0" w:color="auto"/>
            </w:tcBorders>
          </w:tcPr>
          <w:p w:rsidR="003A30B1" w:rsidRPr="00884F88" w:rsidRDefault="00361EFE" w:rsidP="00361EFE">
            <w:pPr>
              <w:jc w:val="both"/>
              <w:rPr>
                <w:rFonts w:asciiTheme="minorHAnsi" w:hAnsiTheme="minorHAnsi" w:cstheme="minorHAnsi"/>
                <w:sz w:val="20"/>
                <w:szCs w:val="20"/>
              </w:rPr>
            </w:pPr>
            <w:r w:rsidRPr="00884F88">
              <w:rPr>
                <w:rFonts w:asciiTheme="minorHAnsi" w:hAnsiTheme="minorHAnsi" w:cstheme="minorHAnsi"/>
                <w:sz w:val="20"/>
                <w:szCs w:val="20"/>
              </w:rPr>
              <w:t xml:space="preserve">Pedagogy </w:t>
            </w:r>
          </w:p>
        </w:tc>
        <w:tc>
          <w:tcPr>
            <w:tcW w:w="5395" w:type="dxa"/>
            <w:tcBorders>
              <w:top w:val="nil"/>
              <w:left w:val="single" w:sz="4" w:space="0" w:color="auto"/>
              <w:bottom w:val="nil"/>
              <w:right w:val="single" w:sz="4" w:space="0" w:color="auto"/>
            </w:tcBorders>
          </w:tcPr>
          <w:p w:rsidR="003A30B1"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Subject knowledge</w:t>
            </w:r>
          </w:p>
        </w:tc>
      </w:tr>
      <w:tr w:rsidR="003A30B1" w:rsidRPr="00884F88" w:rsidTr="00807BF9">
        <w:tc>
          <w:tcPr>
            <w:tcW w:w="5395" w:type="dxa"/>
            <w:tcBorders>
              <w:top w:val="nil"/>
              <w:left w:val="single" w:sz="4" w:space="0" w:color="auto"/>
              <w:bottom w:val="nil"/>
              <w:right w:val="single" w:sz="4" w:space="0" w:color="auto"/>
            </w:tcBorders>
          </w:tcPr>
          <w:p w:rsidR="003A30B1" w:rsidRPr="00884F88" w:rsidRDefault="003A30B1" w:rsidP="00DF780B">
            <w:pPr>
              <w:jc w:val="both"/>
              <w:rPr>
                <w:rFonts w:asciiTheme="minorHAnsi" w:hAnsiTheme="minorHAnsi" w:cstheme="minorHAnsi"/>
                <w:sz w:val="20"/>
                <w:szCs w:val="20"/>
              </w:rPr>
            </w:pPr>
            <w:r w:rsidRPr="00884F88">
              <w:rPr>
                <w:rFonts w:asciiTheme="minorHAnsi" w:hAnsiTheme="minorHAnsi" w:cs="MinionPro-Regular"/>
                <w:sz w:val="20"/>
                <w:szCs w:val="20"/>
                <w:lang w:val="en-GB"/>
              </w:rPr>
              <w:t>Diversification or representation</w:t>
            </w:r>
          </w:p>
        </w:tc>
        <w:tc>
          <w:tcPr>
            <w:tcW w:w="5395" w:type="dxa"/>
            <w:tcBorders>
              <w:top w:val="nil"/>
              <w:left w:val="single" w:sz="4" w:space="0" w:color="auto"/>
              <w:bottom w:val="nil"/>
              <w:right w:val="single" w:sz="4" w:space="0" w:color="auto"/>
            </w:tcBorders>
          </w:tcPr>
          <w:p w:rsidR="003A30B1" w:rsidRPr="00884F88" w:rsidRDefault="00361EFE" w:rsidP="00DF780B">
            <w:pPr>
              <w:jc w:val="both"/>
              <w:rPr>
                <w:rFonts w:asciiTheme="minorHAnsi" w:hAnsiTheme="minorHAnsi" w:cstheme="minorHAnsi"/>
                <w:sz w:val="20"/>
                <w:szCs w:val="20"/>
              </w:rPr>
            </w:pPr>
            <w:r w:rsidRPr="00884F88">
              <w:rPr>
                <w:rFonts w:asciiTheme="minorHAnsi" w:hAnsiTheme="minorHAnsi" w:cs="MinionPro-Regular"/>
                <w:sz w:val="20"/>
                <w:szCs w:val="20"/>
                <w:lang w:val="en-GB"/>
              </w:rPr>
              <w:t>S</w:t>
            </w:r>
            <w:r w:rsidR="003A30B1" w:rsidRPr="00884F88">
              <w:rPr>
                <w:rFonts w:asciiTheme="minorHAnsi" w:hAnsiTheme="minorHAnsi" w:cs="MinionPro-Regular"/>
                <w:sz w:val="20"/>
                <w:szCs w:val="20"/>
                <w:lang w:val="en-GB"/>
              </w:rPr>
              <w:t>electivity</w:t>
            </w:r>
          </w:p>
        </w:tc>
      </w:tr>
      <w:tr w:rsidR="003A30B1" w:rsidRPr="00884F88" w:rsidTr="00807BF9">
        <w:tc>
          <w:tcPr>
            <w:tcW w:w="5395" w:type="dxa"/>
            <w:tcBorders>
              <w:top w:val="nil"/>
              <w:left w:val="single" w:sz="4" w:space="0" w:color="auto"/>
              <w:bottom w:val="single" w:sz="4" w:space="0" w:color="auto"/>
              <w:right w:val="single" w:sz="4" w:space="0" w:color="auto"/>
            </w:tcBorders>
          </w:tcPr>
          <w:p w:rsidR="003A30B1" w:rsidRPr="00884F88" w:rsidRDefault="003A30B1" w:rsidP="00DF780B">
            <w:pPr>
              <w:jc w:val="both"/>
              <w:rPr>
                <w:rFonts w:asciiTheme="minorHAnsi" w:hAnsiTheme="minorHAnsi" w:cstheme="minorHAnsi"/>
                <w:sz w:val="20"/>
                <w:szCs w:val="20"/>
              </w:rPr>
            </w:pPr>
          </w:p>
        </w:tc>
        <w:tc>
          <w:tcPr>
            <w:tcW w:w="5395" w:type="dxa"/>
            <w:tcBorders>
              <w:top w:val="nil"/>
              <w:left w:val="single" w:sz="4" w:space="0" w:color="auto"/>
              <w:bottom w:val="single" w:sz="4" w:space="0" w:color="auto"/>
              <w:right w:val="single" w:sz="4" w:space="0" w:color="auto"/>
            </w:tcBorders>
          </w:tcPr>
          <w:p w:rsidR="003A30B1" w:rsidRPr="00884F88" w:rsidRDefault="003A30B1" w:rsidP="003A30B1">
            <w:pPr>
              <w:jc w:val="right"/>
              <w:rPr>
                <w:rFonts w:asciiTheme="minorHAnsi" w:hAnsiTheme="minorHAnsi" w:cstheme="minorHAnsi"/>
                <w:sz w:val="20"/>
                <w:szCs w:val="20"/>
              </w:rPr>
            </w:pPr>
            <w:r w:rsidRPr="00884F88">
              <w:rPr>
                <w:rFonts w:asciiTheme="minorHAnsi" w:hAnsiTheme="minorHAnsi" w:cstheme="minorHAnsi"/>
                <w:sz w:val="20"/>
                <w:szCs w:val="20"/>
              </w:rPr>
              <w:t>(Cochran-Smith, 2005)</w:t>
            </w:r>
          </w:p>
        </w:tc>
      </w:tr>
      <w:tr w:rsidR="003A30B1" w:rsidRPr="00884F88" w:rsidTr="00807BF9">
        <w:trPr>
          <w:trHeight w:val="612"/>
        </w:trPr>
        <w:tc>
          <w:tcPr>
            <w:tcW w:w="5395" w:type="dxa"/>
            <w:tcBorders>
              <w:top w:val="single" w:sz="4" w:space="0" w:color="auto"/>
              <w:left w:val="single" w:sz="4" w:space="0" w:color="auto"/>
              <w:bottom w:val="nil"/>
              <w:right w:val="single" w:sz="4" w:space="0" w:color="auto"/>
            </w:tcBorders>
          </w:tcPr>
          <w:p w:rsidR="003A30B1" w:rsidRPr="00884F88" w:rsidRDefault="00170245" w:rsidP="00195752">
            <w:pPr>
              <w:jc w:val="both"/>
              <w:rPr>
                <w:rFonts w:asciiTheme="minorHAnsi" w:hAnsiTheme="minorHAnsi" w:cstheme="minorHAnsi"/>
                <w:sz w:val="20"/>
                <w:szCs w:val="20"/>
              </w:rPr>
            </w:pPr>
            <w:r>
              <w:rPr>
                <w:rFonts w:asciiTheme="minorHAnsi" w:hAnsiTheme="minorHAnsi" w:cs="MinionPro-Regular"/>
                <w:sz w:val="20"/>
                <w:szCs w:val="20"/>
                <w:lang w:val="en-GB"/>
              </w:rPr>
              <w:t>Moral purpose</w:t>
            </w:r>
            <w:bookmarkStart w:id="0" w:name="_GoBack"/>
            <w:bookmarkEnd w:id="0"/>
          </w:p>
        </w:tc>
        <w:tc>
          <w:tcPr>
            <w:tcW w:w="5395" w:type="dxa"/>
            <w:tcBorders>
              <w:top w:val="single" w:sz="4" w:space="0" w:color="auto"/>
              <w:left w:val="single" w:sz="4" w:space="0" w:color="auto"/>
              <w:bottom w:val="nil"/>
              <w:right w:val="single" w:sz="4" w:space="0" w:color="auto"/>
            </w:tcBorders>
          </w:tcPr>
          <w:p w:rsidR="003A30B1" w:rsidRPr="00884F88" w:rsidRDefault="003A30B1" w:rsidP="00857A65">
            <w:pPr>
              <w:autoSpaceDE w:val="0"/>
              <w:autoSpaceDN w:val="0"/>
              <w:adjustRightInd w:val="0"/>
              <w:rPr>
                <w:rFonts w:asciiTheme="minorHAnsi" w:hAnsiTheme="minorHAnsi" w:cs="MinionPro-Regular"/>
                <w:sz w:val="20"/>
                <w:szCs w:val="20"/>
                <w:lang w:val="en-GB"/>
              </w:rPr>
            </w:pPr>
            <w:r w:rsidRPr="00884F88">
              <w:rPr>
                <w:rFonts w:asciiTheme="minorHAnsi" w:hAnsiTheme="minorHAnsi" w:cs="MinionPro-Regular"/>
                <w:sz w:val="20"/>
                <w:szCs w:val="20"/>
                <w:lang w:val="en-GB"/>
              </w:rPr>
              <w:t xml:space="preserve">Professional behaviour (regulating conduct, </w:t>
            </w:r>
            <w:r w:rsidR="00857A65">
              <w:rPr>
                <w:rFonts w:asciiTheme="minorHAnsi" w:hAnsiTheme="minorHAnsi" w:cs="MinionPro-Regular"/>
                <w:sz w:val="20"/>
                <w:szCs w:val="20"/>
                <w:lang w:val="en-GB"/>
              </w:rPr>
              <w:t>evidence-based teaching</w:t>
            </w:r>
            <w:r w:rsidRPr="00884F88">
              <w:rPr>
                <w:rFonts w:asciiTheme="minorHAnsi" w:hAnsiTheme="minorHAnsi" w:cs="MinionPro-Regular"/>
                <w:sz w:val="20"/>
                <w:szCs w:val="20"/>
                <w:lang w:val="en-GB"/>
              </w:rPr>
              <w:t>)</w:t>
            </w:r>
          </w:p>
        </w:tc>
      </w:tr>
      <w:tr w:rsidR="00195752" w:rsidRPr="00884F88" w:rsidTr="00807BF9">
        <w:trPr>
          <w:trHeight w:val="612"/>
        </w:trPr>
        <w:tc>
          <w:tcPr>
            <w:tcW w:w="5395" w:type="dxa"/>
            <w:tcBorders>
              <w:top w:val="nil"/>
              <w:left w:val="single" w:sz="4" w:space="0" w:color="auto"/>
              <w:bottom w:val="nil"/>
              <w:right w:val="single" w:sz="4" w:space="0" w:color="auto"/>
            </w:tcBorders>
          </w:tcPr>
          <w:p w:rsidR="00195752" w:rsidRPr="00884F88" w:rsidRDefault="00361EFE" w:rsidP="00BA0CCF">
            <w:pPr>
              <w:autoSpaceDE w:val="0"/>
              <w:autoSpaceDN w:val="0"/>
              <w:adjustRightInd w:val="0"/>
              <w:rPr>
                <w:rFonts w:asciiTheme="minorHAnsi" w:hAnsiTheme="minorHAnsi" w:cs="MinionPro-Regular"/>
                <w:sz w:val="20"/>
                <w:szCs w:val="20"/>
                <w:lang w:val="en-GB"/>
              </w:rPr>
            </w:pPr>
            <w:r w:rsidRPr="00884F88">
              <w:rPr>
                <w:rFonts w:asciiTheme="minorHAnsi" w:hAnsiTheme="minorHAnsi" w:cs="MinionPro-Regular"/>
                <w:sz w:val="20"/>
                <w:szCs w:val="20"/>
                <w:lang w:val="en-GB"/>
              </w:rPr>
              <w:t>Teacher education pedagogy (curriculum design)</w:t>
            </w:r>
          </w:p>
        </w:tc>
        <w:tc>
          <w:tcPr>
            <w:tcW w:w="5395" w:type="dxa"/>
            <w:tcBorders>
              <w:top w:val="nil"/>
              <w:left w:val="single" w:sz="4" w:space="0" w:color="auto"/>
              <w:bottom w:val="nil"/>
              <w:right w:val="single" w:sz="4" w:space="0" w:color="auto"/>
            </w:tcBorders>
          </w:tcPr>
          <w:p w:rsidR="00361EFE" w:rsidRPr="00884F88" w:rsidRDefault="00361EFE" w:rsidP="00195752">
            <w:pPr>
              <w:autoSpaceDE w:val="0"/>
              <w:autoSpaceDN w:val="0"/>
              <w:adjustRightInd w:val="0"/>
              <w:rPr>
                <w:rFonts w:asciiTheme="minorHAnsi" w:hAnsiTheme="minorHAnsi" w:cs="MinionPro-Regular"/>
                <w:sz w:val="20"/>
                <w:szCs w:val="20"/>
                <w:lang w:val="en-GB"/>
              </w:rPr>
            </w:pPr>
            <w:r w:rsidRPr="00884F88">
              <w:rPr>
                <w:rFonts w:asciiTheme="minorHAnsi" w:hAnsiTheme="minorHAnsi" w:cs="MinionPro-Regular"/>
                <w:sz w:val="20"/>
                <w:szCs w:val="20"/>
                <w:lang w:val="en-GB"/>
              </w:rPr>
              <w:t>Delivering ‘urgent’ content (audit/compliance)</w:t>
            </w:r>
          </w:p>
        </w:tc>
      </w:tr>
      <w:tr w:rsidR="003A30B1" w:rsidRPr="00884F88" w:rsidTr="00807BF9">
        <w:tc>
          <w:tcPr>
            <w:tcW w:w="5395" w:type="dxa"/>
            <w:tcBorders>
              <w:top w:val="nil"/>
              <w:left w:val="single" w:sz="4" w:space="0" w:color="auto"/>
              <w:bottom w:val="single" w:sz="4" w:space="0" w:color="auto"/>
              <w:right w:val="single" w:sz="4" w:space="0" w:color="auto"/>
            </w:tcBorders>
          </w:tcPr>
          <w:p w:rsidR="003A30B1" w:rsidRPr="00884F88" w:rsidRDefault="003A30B1" w:rsidP="00DF780B">
            <w:pPr>
              <w:jc w:val="both"/>
              <w:rPr>
                <w:rFonts w:asciiTheme="minorHAnsi" w:hAnsiTheme="minorHAnsi" w:cstheme="minorHAnsi"/>
                <w:sz w:val="20"/>
                <w:szCs w:val="20"/>
              </w:rPr>
            </w:pPr>
          </w:p>
        </w:tc>
        <w:tc>
          <w:tcPr>
            <w:tcW w:w="5395" w:type="dxa"/>
            <w:tcBorders>
              <w:top w:val="nil"/>
              <w:left w:val="single" w:sz="4" w:space="0" w:color="auto"/>
              <w:bottom w:val="single" w:sz="4" w:space="0" w:color="auto"/>
              <w:right w:val="single" w:sz="4" w:space="0" w:color="auto"/>
            </w:tcBorders>
          </w:tcPr>
          <w:p w:rsidR="003A30B1" w:rsidRPr="00884F88" w:rsidRDefault="00BA0CCF" w:rsidP="00BA0CCF">
            <w:pPr>
              <w:jc w:val="right"/>
              <w:rPr>
                <w:rFonts w:asciiTheme="minorHAnsi" w:hAnsiTheme="minorHAnsi" w:cstheme="minorHAnsi"/>
                <w:sz w:val="20"/>
                <w:szCs w:val="20"/>
              </w:rPr>
            </w:pPr>
            <w:r>
              <w:rPr>
                <w:rFonts w:asciiTheme="minorHAnsi" w:hAnsiTheme="minorHAnsi" w:cstheme="minorHAnsi"/>
                <w:sz w:val="20"/>
                <w:szCs w:val="20"/>
              </w:rPr>
              <w:t>(</w:t>
            </w:r>
            <w:r w:rsidR="00195752" w:rsidRPr="00884F88">
              <w:rPr>
                <w:rFonts w:asciiTheme="minorHAnsi" w:hAnsiTheme="minorHAnsi" w:cstheme="minorHAnsi"/>
                <w:sz w:val="20"/>
                <w:szCs w:val="20"/>
              </w:rPr>
              <w:t>Mutton et al</w:t>
            </w:r>
            <w:r>
              <w:rPr>
                <w:rFonts w:asciiTheme="minorHAnsi" w:hAnsiTheme="minorHAnsi" w:cstheme="minorHAnsi"/>
                <w:sz w:val="20"/>
                <w:szCs w:val="20"/>
              </w:rPr>
              <w:t>., 2017</w:t>
            </w:r>
            <w:r w:rsidR="00195752" w:rsidRPr="00884F88">
              <w:rPr>
                <w:rFonts w:asciiTheme="minorHAnsi" w:hAnsiTheme="minorHAnsi" w:cstheme="minorHAnsi"/>
                <w:sz w:val="20"/>
                <w:szCs w:val="20"/>
              </w:rPr>
              <w:t>)</w:t>
            </w:r>
          </w:p>
        </w:tc>
      </w:tr>
      <w:tr w:rsidR="00884F88" w:rsidRPr="00884F88" w:rsidTr="00807BF9">
        <w:tc>
          <w:tcPr>
            <w:tcW w:w="5395" w:type="dxa"/>
            <w:tcBorders>
              <w:top w:val="single" w:sz="4" w:space="0" w:color="auto"/>
              <w:bottom w:val="nil"/>
            </w:tcBorders>
          </w:tcPr>
          <w:p w:rsidR="00AF63D0" w:rsidRPr="00AF63D0" w:rsidRDefault="00884F88" w:rsidP="00AF63D0">
            <w:pPr>
              <w:autoSpaceDE w:val="0"/>
              <w:autoSpaceDN w:val="0"/>
              <w:adjustRightInd w:val="0"/>
              <w:rPr>
                <w:rFonts w:asciiTheme="minorHAnsi" w:eastAsiaTheme="minorEastAsia" w:hAnsiTheme="minorHAnsi" w:cs="Georgia"/>
                <w:color w:val="auto"/>
                <w:sz w:val="20"/>
                <w:szCs w:val="20"/>
                <w:lang w:val="en-GB"/>
              </w:rPr>
            </w:pPr>
            <w:r w:rsidRPr="00884F88">
              <w:rPr>
                <w:rFonts w:asciiTheme="minorHAnsi" w:eastAsiaTheme="minorEastAsia" w:hAnsiTheme="minorHAnsi" w:cs="BemboMTPro-Regular"/>
                <w:color w:val="auto"/>
                <w:sz w:val="20"/>
                <w:szCs w:val="20"/>
                <w:lang w:val="en-GB"/>
              </w:rPr>
              <w:t xml:space="preserve"> </w:t>
            </w:r>
            <w:r w:rsidR="00BA0CCF" w:rsidRPr="00884F88">
              <w:rPr>
                <w:rFonts w:asciiTheme="minorHAnsi" w:hAnsiTheme="minorHAnsi" w:cstheme="minorHAnsi"/>
                <w:b/>
                <w:sz w:val="20"/>
                <w:szCs w:val="20"/>
              </w:rPr>
              <w:t>Strong equity perspective</w:t>
            </w:r>
            <w:r w:rsidR="00BA0CCF" w:rsidRPr="00884F88">
              <w:rPr>
                <w:rFonts w:asciiTheme="minorHAnsi" w:hAnsiTheme="minorHAnsi" w:cstheme="minorHAnsi"/>
                <w:sz w:val="20"/>
                <w:szCs w:val="20"/>
              </w:rPr>
              <w:t xml:space="preserve"> (integrated social policy frame)</w:t>
            </w:r>
            <w:r w:rsidR="00AF63D0">
              <w:rPr>
                <w:rFonts w:asciiTheme="minorHAnsi" w:hAnsiTheme="minorHAnsi" w:cstheme="minorHAnsi"/>
                <w:sz w:val="20"/>
                <w:szCs w:val="20"/>
              </w:rPr>
              <w:t>. “</w:t>
            </w:r>
            <w:r w:rsidR="00AF63D0" w:rsidRPr="00AF63D0">
              <w:rPr>
                <w:rFonts w:asciiTheme="minorHAnsi" w:eastAsiaTheme="minorEastAsia" w:hAnsiTheme="minorHAnsi" w:cs="Georgia"/>
                <w:color w:val="auto"/>
                <w:sz w:val="20"/>
                <w:szCs w:val="20"/>
                <w:lang w:val="en-GB"/>
              </w:rPr>
              <w:t>Inequality rooted in and sustained by longstanding</w:t>
            </w:r>
          </w:p>
          <w:p w:rsidR="00884F88" w:rsidRPr="00884F88" w:rsidRDefault="00AF63D0" w:rsidP="00AF63D0">
            <w:pPr>
              <w:autoSpaceDE w:val="0"/>
              <w:autoSpaceDN w:val="0"/>
              <w:adjustRightInd w:val="0"/>
              <w:rPr>
                <w:rFonts w:asciiTheme="minorHAnsi" w:eastAsiaTheme="minorEastAsia" w:hAnsiTheme="minorHAnsi" w:cs="BemboMTPro-Regular"/>
                <w:color w:val="auto"/>
                <w:sz w:val="20"/>
                <w:szCs w:val="20"/>
                <w:lang w:val="en-GB"/>
              </w:rPr>
            </w:pPr>
            <w:r w:rsidRPr="00AF63D0">
              <w:rPr>
                <w:rFonts w:asciiTheme="minorHAnsi" w:eastAsiaTheme="minorEastAsia" w:hAnsiTheme="minorHAnsi" w:cs="Georgia"/>
                <w:color w:val="auto"/>
                <w:sz w:val="20"/>
                <w:szCs w:val="20"/>
                <w:lang w:val="en-GB"/>
              </w:rPr>
              <w:t>systemic societal inequities</w:t>
            </w:r>
            <w:r>
              <w:rPr>
                <w:rFonts w:asciiTheme="minorHAnsi" w:eastAsiaTheme="minorEastAsia" w:hAnsiTheme="minorHAnsi" w:cs="Georgia"/>
                <w:color w:val="auto"/>
                <w:sz w:val="20"/>
                <w:szCs w:val="20"/>
                <w:lang w:val="en-GB"/>
              </w:rPr>
              <w:t>”</w:t>
            </w:r>
          </w:p>
        </w:tc>
        <w:tc>
          <w:tcPr>
            <w:tcW w:w="5395" w:type="dxa"/>
            <w:tcBorders>
              <w:top w:val="single" w:sz="4" w:space="0" w:color="auto"/>
              <w:bottom w:val="nil"/>
            </w:tcBorders>
          </w:tcPr>
          <w:p w:rsidR="00884F88" w:rsidRPr="00576AE4" w:rsidRDefault="00884F88" w:rsidP="00576AE4">
            <w:pPr>
              <w:autoSpaceDE w:val="0"/>
              <w:autoSpaceDN w:val="0"/>
              <w:adjustRightInd w:val="0"/>
              <w:rPr>
                <w:rFonts w:ascii="Georgia" w:eastAsiaTheme="minorEastAsia" w:hAnsi="Georgia" w:cs="Georgia"/>
                <w:color w:val="auto"/>
                <w:sz w:val="22"/>
                <w:szCs w:val="22"/>
                <w:lang w:val="en-GB"/>
              </w:rPr>
            </w:pPr>
            <w:r w:rsidRPr="00884F88">
              <w:rPr>
                <w:rFonts w:asciiTheme="minorHAnsi" w:eastAsiaTheme="minorEastAsia" w:hAnsiTheme="minorHAnsi" w:cs="BemboMTPro-Regular"/>
                <w:color w:val="auto"/>
                <w:sz w:val="20"/>
                <w:szCs w:val="20"/>
                <w:lang w:val="en-GB"/>
              </w:rPr>
              <w:t xml:space="preserve"> </w:t>
            </w:r>
            <w:r w:rsidR="00BA0CCF" w:rsidRPr="00884F88">
              <w:rPr>
                <w:rFonts w:asciiTheme="minorHAnsi" w:hAnsiTheme="minorHAnsi" w:cstheme="minorHAnsi"/>
                <w:b/>
                <w:sz w:val="20"/>
                <w:szCs w:val="20"/>
              </w:rPr>
              <w:t>Thin equity perspective</w:t>
            </w:r>
            <w:r w:rsidR="00BA0CCF" w:rsidRPr="00884F88">
              <w:rPr>
                <w:rFonts w:asciiTheme="minorHAnsi" w:hAnsiTheme="minorHAnsi" w:cstheme="minorHAnsi"/>
                <w:sz w:val="20"/>
                <w:szCs w:val="20"/>
              </w:rPr>
              <w:t xml:space="preserve"> (teacher centrality)</w:t>
            </w:r>
            <w:r w:rsidR="00933E1F">
              <w:rPr>
                <w:rFonts w:asciiTheme="minorHAnsi" w:hAnsiTheme="minorHAnsi" w:cstheme="minorHAnsi"/>
                <w:sz w:val="20"/>
                <w:szCs w:val="20"/>
              </w:rPr>
              <w:t xml:space="preserve"> Teacher-as-problem.</w:t>
            </w:r>
            <w:r w:rsidR="00576AE4">
              <w:rPr>
                <w:rFonts w:asciiTheme="minorHAnsi" w:hAnsiTheme="minorHAnsi" w:cstheme="minorHAnsi"/>
                <w:sz w:val="20"/>
                <w:szCs w:val="20"/>
              </w:rPr>
              <w:t xml:space="preserve"> </w:t>
            </w:r>
            <w:r w:rsidR="00AF63D0">
              <w:rPr>
                <w:rFonts w:asciiTheme="minorHAnsi" w:hAnsiTheme="minorHAnsi" w:cstheme="minorHAnsi"/>
                <w:sz w:val="20"/>
                <w:szCs w:val="20"/>
              </w:rPr>
              <w:t>“</w:t>
            </w:r>
            <w:r w:rsidR="00576AE4" w:rsidRPr="00576AE4">
              <w:rPr>
                <w:rFonts w:asciiTheme="minorHAnsi" w:eastAsiaTheme="minorEastAsia" w:hAnsiTheme="minorHAnsi" w:cs="Georgia"/>
                <w:color w:val="auto"/>
                <w:sz w:val="20"/>
                <w:szCs w:val="22"/>
                <w:lang w:val="en-GB"/>
              </w:rPr>
              <w:t>School factors, especially teachers, are the major sources of educational inequality</w:t>
            </w:r>
            <w:r w:rsidR="00AF63D0">
              <w:rPr>
                <w:rFonts w:asciiTheme="minorHAnsi" w:eastAsiaTheme="minorEastAsia" w:hAnsiTheme="minorHAnsi" w:cs="Georgia"/>
                <w:color w:val="auto"/>
                <w:sz w:val="20"/>
                <w:szCs w:val="22"/>
                <w:lang w:val="en-GB"/>
              </w:rPr>
              <w:t>”</w:t>
            </w:r>
            <w:r w:rsidR="00576AE4" w:rsidRPr="00576AE4">
              <w:rPr>
                <w:rFonts w:asciiTheme="minorHAnsi" w:eastAsiaTheme="minorEastAsia" w:hAnsiTheme="minorHAnsi" w:cs="Georgia"/>
                <w:color w:val="auto"/>
                <w:sz w:val="20"/>
                <w:szCs w:val="22"/>
                <w:lang w:val="en-GB"/>
              </w:rPr>
              <w:t>.</w:t>
            </w:r>
          </w:p>
        </w:tc>
      </w:tr>
      <w:tr w:rsidR="003A30B1" w:rsidRPr="00884F88" w:rsidTr="00807BF9">
        <w:tc>
          <w:tcPr>
            <w:tcW w:w="5395" w:type="dxa"/>
            <w:tcBorders>
              <w:top w:val="nil"/>
              <w:bottom w:val="single" w:sz="4" w:space="0" w:color="auto"/>
            </w:tcBorders>
          </w:tcPr>
          <w:p w:rsidR="003A30B1" w:rsidRPr="00884F88" w:rsidRDefault="003A30B1" w:rsidP="00DF780B">
            <w:pPr>
              <w:jc w:val="both"/>
              <w:rPr>
                <w:rFonts w:asciiTheme="minorHAnsi" w:hAnsiTheme="minorHAnsi" w:cstheme="minorHAnsi"/>
                <w:sz w:val="20"/>
                <w:szCs w:val="20"/>
              </w:rPr>
            </w:pPr>
          </w:p>
        </w:tc>
        <w:tc>
          <w:tcPr>
            <w:tcW w:w="5395" w:type="dxa"/>
            <w:tcBorders>
              <w:top w:val="nil"/>
              <w:bottom w:val="single" w:sz="4" w:space="0" w:color="auto"/>
            </w:tcBorders>
          </w:tcPr>
          <w:p w:rsidR="003A30B1" w:rsidRPr="00884F88" w:rsidRDefault="00857A65" w:rsidP="00195752">
            <w:pPr>
              <w:jc w:val="right"/>
              <w:rPr>
                <w:rFonts w:asciiTheme="minorHAnsi" w:hAnsiTheme="minorHAnsi" w:cstheme="minorHAnsi"/>
                <w:sz w:val="20"/>
                <w:szCs w:val="20"/>
              </w:rPr>
            </w:pPr>
            <w:r>
              <w:rPr>
                <w:rFonts w:asciiTheme="minorHAnsi" w:hAnsiTheme="minorHAnsi" w:cstheme="minorHAnsi"/>
                <w:sz w:val="20"/>
                <w:szCs w:val="20"/>
              </w:rPr>
              <w:t>(</w:t>
            </w:r>
            <w:r w:rsidR="000C7686">
              <w:rPr>
                <w:rFonts w:asciiTheme="minorHAnsi" w:hAnsiTheme="minorHAnsi" w:cstheme="minorHAnsi"/>
                <w:sz w:val="20"/>
                <w:szCs w:val="20"/>
              </w:rPr>
              <w:t>Cochran-</w:t>
            </w:r>
            <w:r>
              <w:rPr>
                <w:rFonts w:asciiTheme="minorHAnsi" w:hAnsiTheme="minorHAnsi" w:cstheme="minorHAnsi"/>
                <w:sz w:val="20"/>
                <w:szCs w:val="20"/>
              </w:rPr>
              <w:t xml:space="preserve">Smith et al., </w:t>
            </w:r>
            <w:r w:rsidR="00195752" w:rsidRPr="00884F88">
              <w:rPr>
                <w:rFonts w:asciiTheme="minorHAnsi" w:hAnsiTheme="minorHAnsi" w:cstheme="minorHAnsi"/>
                <w:sz w:val="20"/>
                <w:szCs w:val="20"/>
              </w:rPr>
              <w:t>2016</w:t>
            </w:r>
            <w:r w:rsidR="00AF63D0">
              <w:rPr>
                <w:rFonts w:asciiTheme="minorHAnsi" w:hAnsiTheme="minorHAnsi" w:cstheme="minorHAnsi"/>
                <w:sz w:val="20"/>
                <w:szCs w:val="20"/>
              </w:rPr>
              <w:t>:17</w:t>
            </w:r>
            <w:r w:rsidR="00195752" w:rsidRPr="00884F88">
              <w:rPr>
                <w:rFonts w:asciiTheme="minorHAnsi" w:hAnsiTheme="minorHAnsi" w:cstheme="minorHAnsi"/>
                <w:sz w:val="20"/>
                <w:szCs w:val="20"/>
              </w:rPr>
              <w:t>)</w:t>
            </w:r>
          </w:p>
        </w:tc>
      </w:tr>
      <w:tr w:rsidR="00884F88" w:rsidRPr="00884F88" w:rsidTr="00807BF9">
        <w:tc>
          <w:tcPr>
            <w:tcW w:w="5395" w:type="dxa"/>
            <w:tcBorders>
              <w:bottom w:val="nil"/>
            </w:tcBorders>
          </w:tcPr>
          <w:p w:rsidR="00884F88" w:rsidRPr="00884F88" w:rsidRDefault="00884F88" w:rsidP="00884F88">
            <w:pPr>
              <w:autoSpaceDE w:val="0"/>
              <w:autoSpaceDN w:val="0"/>
              <w:adjustRightInd w:val="0"/>
              <w:rPr>
                <w:rFonts w:asciiTheme="minorHAnsi" w:eastAsiaTheme="minorEastAsia" w:hAnsiTheme="minorHAnsi" w:cs="BemboMTPro-Regular"/>
                <w:b/>
                <w:color w:val="auto"/>
                <w:sz w:val="20"/>
                <w:szCs w:val="20"/>
                <w:lang w:val="en-GB"/>
              </w:rPr>
            </w:pPr>
            <w:r w:rsidRPr="00884F88">
              <w:rPr>
                <w:rFonts w:asciiTheme="minorHAnsi" w:eastAsiaTheme="minorEastAsia" w:hAnsiTheme="minorHAnsi" w:cs="BemboMTPro-Regular"/>
                <w:b/>
                <w:color w:val="auto"/>
                <w:sz w:val="20"/>
                <w:szCs w:val="20"/>
                <w:lang w:val="en-GB"/>
              </w:rPr>
              <w:t>Professional capital</w:t>
            </w:r>
          </w:p>
          <w:p w:rsidR="00884F88" w:rsidRPr="00884F88" w:rsidRDefault="00884F88" w:rsidP="00884F88">
            <w:pPr>
              <w:autoSpaceDE w:val="0"/>
              <w:autoSpaceDN w:val="0"/>
              <w:adjustRightInd w:val="0"/>
              <w:rPr>
                <w:rFonts w:asciiTheme="minorHAnsi" w:eastAsiaTheme="minorEastAsia" w:hAnsiTheme="minorHAnsi" w:cs="BemboMTPro-Regular"/>
                <w:b/>
                <w:color w:val="auto"/>
                <w:sz w:val="20"/>
                <w:szCs w:val="20"/>
                <w:lang w:val="en-GB"/>
              </w:rPr>
            </w:pPr>
            <w:r w:rsidRPr="00884F88">
              <w:rPr>
                <w:rFonts w:asciiTheme="minorHAnsi" w:eastAsiaTheme="minorEastAsia" w:hAnsiTheme="minorHAnsi" w:cs="BemboMTPro-Regular"/>
                <w:color w:val="auto"/>
                <w:sz w:val="20"/>
                <w:szCs w:val="20"/>
                <w:lang w:val="en-GB"/>
              </w:rPr>
              <w:t>“Getting good teaching for all learners requires teachers to be highly committed, thoroughly prepared, continuously developed, properly paid, well networked with each other to maximise their own improvement, and able to make effective judgements using all their capabilities and experience”</w:t>
            </w:r>
          </w:p>
        </w:tc>
        <w:tc>
          <w:tcPr>
            <w:tcW w:w="5395" w:type="dxa"/>
            <w:tcBorders>
              <w:bottom w:val="nil"/>
            </w:tcBorders>
          </w:tcPr>
          <w:p w:rsidR="00884F88" w:rsidRPr="00884F88" w:rsidRDefault="00884F88" w:rsidP="00884F88">
            <w:pPr>
              <w:autoSpaceDE w:val="0"/>
              <w:autoSpaceDN w:val="0"/>
              <w:adjustRightInd w:val="0"/>
              <w:rPr>
                <w:rFonts w:asciiTheme="minorHAnsi" w:eastAsiaTheme="minorEastAsia" w:hAnsiTheme="minorHAnsi" w:cs="BemboMTPro-Regular"/>
                <w:b/>
                <w:color w:val="auto"/>
                <w:sz w:val="20"/>
                <w:szCs w:val="20"/>
                <w:lang w:val="en-GB"/>
              </w:rPr>
            </w:pPr>
            <w:r w:rsidRPr="00884F88">
              <w:rPr>
                <w:rFonts w:asciiTheme="minorHAnsi" w:eastAsiaTheme="minorEastAsia" w:hAnsiTheme="minorHAnsi" w:cs="BemboMTPro-Regular"/>
                <w:b/>
                <w:color w:val="auto"/>
                <w:sz w:val="20"/>
                <w:szCs w:val="20"/>
                <w:lang w:val="en-GB"/>
              </w:rPr>
              <w:t>Business capital</w:t>
            </w:r>
          </w:p>
          <w:p w:rsidR="00884F88" w:rsidRPr="00807BF9" w:rsidRDefault="00884F88" w:rsidP="00884F88">
            <w:pPr>
              <w:autoSpaceDE w:val="0"/>
              <w:autoSpaceDN w:val="0"/>
              <w:adjustRightInd w:val="0"/>
              <w:rPr>
                <w:rFonts w:asciiTheme="minorHAnsi" w:eastAsiaTheme="minorEastAsia" w:hAnsiTheme="minorHAnsi" w:cs="BemboMTPro-Regular"/>
                <w:color w:val="auto"/>
                <w:sz w:val="20"/>
                <w:szCs w:val="20"/>
                <w:lang w:val="en-GB"/>
              </w:rPr>
            </w:pPr>
            <w:r w:rsidRPr="00884F88">
              <w:rPr>
                <w:rFonts w:asciiTheme="minorHAnsi" w:eastAsiaTheme="minorEastAsia" w:hAnsiTheme="minorHAnsi" w:cs="BemboMTPro-Regular"/>
                <w:color w:val="auto"/>
                <w:sz w:val="20"/>
                <w:szCs w:val="20"/>
                <w:lang w:val="en-GB"/>
              </w:rPr>
              <w:t>“A teaching force that</w:t>
            </w:r>
            <w:r w:rsidR="00807BF9">
              <w:rPr>
                <w:rFonts w:asciiTheme="minorHAnsi" w:eastAsiaTheme="minorEastAsia" w:hAnsiTheme="minorHAnsi" w:cs="BemboMTPro-Regular"/>
                <w:color w:val="auto"/>
                <w:sz w:val="20"/>
                <w:szCs w:val="20"/>
                <w:lang w:val="en-GB"/>
              </w:rPr>
              <w:t xml:space="preserve"> is young, flexible, temporary, </w:t>
            </w:r>
            <w:r w:rsidRPr="00884F88">
              <w:rPr>
                <w:rFonts w:asciiTheme="minorHAnsi" w:eastAsiaTheme="minorEastAsia" w:hAnsiTheme="minorHAnsi" w:cs="BemboMTPro-Regular"/>
                <w:color w:val="auto"/>
                <w:sz w:val="20"/>
                <w:szCs w:val="20"/>
                <w:lang w:val="en-GB"/>
              </w:rPr>
              <w:t>inexpensive to train at the beginning, un-pensioned at the end (except by teachers’ self-investment), and replaceable where ever possible by technology. Finding and keeping good teachers then becomes seeking out and deploying (but not really developing or investing in) existing human capital – hunting for talented individuals, working them hard, and moving them on when they get restless or become spent.</w:t>
            </w:r>
          </w:p>
        </w:tc>
      </w:tr>
      <w:tr w:rsidR="003A30B1" w:rsidRPr="00884F88" w:rsidTr="00807BF9">
        <w:tc>
          <w:tcPr>
            <w:tcW w:w="5395" w:type="dxa"/>
            <w:tcBorders>
              <w:top w:val="nil"/>
              <w:bottom w:val="single" w:sz="4" w:space="0" w:color="auto"/>
            </w:tcBorders>
          </w:tcPr>
          <w:p w:rsidR="003A30B1" w:rsidRPr="00884F88" w:rsidRDefault="003A30B1" w:rsidP="00DF780B">
            <w:pPr>
              <w:jc w:val="both"/>
              <w:rPr>
                <w:rFonts w:asciiTheme="minorHAnsi" w:hAnsiTheme="minorHAnsi" w:cstheme="minorHAnsi"/>
                <w:sz w:val="20"/>
                <w:szCs w:val="20"/>
              </w:rPr>
            </w:pPr>
          </w:p>
        </w:tc>
        <w:tc>
          <w:tcPr>
            <w:tcW w:w="5395" w:type="dxa"/>
            <w:tcBorders>
              <w:top w:val="nil"/>
              <w:bottom w:val="single" w:sz="4" w:space="0" w:color="auto"/>
            </w:tcBorders>
          </w:tcPr>
          <w:p w:rsidR="003A30B1" w:rsidRPr="00884F88" w:rsidRDefault="00AF63D0" w:rsidP="003A30B1">
            <w:pPr>
              <w:jc w:val="right"/>
              <w:rPr>
                <w:rFonts w:asciiTheme="minorHAnsi" w:hAnsiTheme="minorHAnsi" w:cstheme="minorHAnsi"/>
                <w:sz w:val="20"/>
                <w:szCs w:val="20"/>
              </w:rPr>
            </w:pPr>
            <w:r>
              <w:rPr>
                <w:rFonts w:asciiTheme="minorHAnsi" w:eastAsiaTheme="minorEastAsia" w:hAnsiTheme="minorHAnsi" w:cs="BemboMTPro-Regular"/>
                <w:color w:val="auto"/>
                <w:sz w:val="20"/>
                <w:szCs w:val="20"/>
                <w:lang w:val="en-GB"/>
              </w:rPr>
              <w:t xml:space="preserve">(Hargreaves, 2013: </w:t>
            </w:r>
            <w:r w:rsidR="00195752" w:rsidRPr="00884F88">
              <w:rPr>
                <w:rFonts w:asciiTheme="minorHAnsi" w:eastAsiaTheme="minorEastAsia" w:hAnsiTheme="minorHAnsi" w:cs="BemboMTPro-Regular"/>
                <w:color w:val="auto"/>
                <w:sz w:val="20"/>
                <w:szCs w:val="20"/>
                <w:lang w:val="en-GB"/>
              </w:rPr>
              <w:t>293-4).</w:t>
            </w:r>
          </w:p>
        </w:tc>
      </w:tr>
      <w:tr w:rsidR="003A30B1" w:rsidRPr="00884F88" w:rsidTr="00807BF9">
        <w:tc>
          <w:tcPr>
            <w:tcW w:w="5395" w:type="dxa"/>
            <w:tcBorders>
              <w:top w:val="single" w:sz="4" w:space="0" w:color="auto"/>
              <w:left w:val="single" w:sz="4" w:space="0" w:color="auto"/>
              <w:bottom w:val="nil"/>
              <w:right w:val="single" w:sz="4" w:space="0" w:color="auto"/>
            </w:tcBorders>
          </w:tcPr>
          <w:p w:rsidR="003A30B1"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Highly qualified</w:t>
            </w:r>
          </w:p>
        </w:tc>
        <w:tc>
          <w:tcPr>
            <w:tcW w:w="5395" w:type="dxa"/>
            <w:tcBorders>
              <w:top w:val="single" w:sz="4" w:space="0" w:color="auto"/>
              <w:left w:val="single" w:sz="4" w:space="0" w:color="auto"/>
              <w:bottom w:val="nil"/>
              <w:right w:val="single" w:sz="4" w:space="0" w:color="auto"/>
            </w:tcBorders>
          </w:tcPr>
          <w:p w:rsidR="003A30B1" w:rsidRPr="00884F88" w:rsidRDefault="00361EFE" w:rsidP="00361EFE">
            <w:pPr>
              <w:rPr>
                <w:rFonts w:asciiTheme="minorHAnsi" w:hAnsiTheme="minorHAnsi" w:cstheme="minorHAnsi"/>
                <w:sz w:val="20"/>
                <w:szCs w:val="20"/>
              </w:rPr>
            </w:pPr>
            <w:r w:rsidRPr="00884F88">
              <w:rPr>
                <w:rFonts w:asciiTheme="minorHAnsi" w:hAnsiTheme="minorHAnsi" w:cstheme="minorHAnsi"/>
                <w:sz w:val="20"/>
                <w:szCs w:val="20"/>
              </w:rPr>
              <w:t>Differently qualified</w:t>
            </w:r>
          </w:p>
        </w:tc>
      </w:tr>
      <w:tr w:rsidR="003A30B1" w:rsidRPr="00884F88" w:rsidTr="00807BF9">
        <w:tc>
          <w:tcPr>
            <w:tcW w:w="5395" w:type="dxa"/>
            <w:tcBorders>
              <w:top w:val="nil"/>
              <w:left w:val="single" w:sz="4" w:space="0" w:color="auto"/>
              <w:bottom w:val="nil"/>
              <w:right w:val="single" w:sz="4" w:space="0" w:color="auto"/>
            </w:tcBorders>
          </w:tcPr>
          <w:p w:rsidR="003A30B1" w:rsidRPr="00884F88" w:rsidRDefault="00102982" w:rsidP="00DF780B">
            <w:pPr>
              <w:jc w:val="both"/>
              <w:rPr>
                <w:rFonts w:asciiTheme="minorHAnsi" w:hAnsiTheme="minorHAnsi" w:cstheme="minorHAnsi"/>
                <w:sz w:val="20"/>
                <w:szCs w:val="20"/>
              </w:rPr>
            </w:pPr>
            <w:r>
              <w:rPr>
                <w:rFonts w:asciiTheme="minorHAnsi" w:hAnsiTheme="minorHAnsi" w:cstheme="minorHAnsi"/>
                <w:sz w:val="20"/>
                <w:szCs w:val="20"/>
              </w:rPr>
              <w:t>Teaching as complex activity, c</w:t>
            </w:r>
            <w:r w:rsidR="00361EFE" w:rsidRPr="00884F88">
              <w:rPr>
                <w:rFonts w:asciiTheme="minorHAnsi" w:hAnsiTheme="minorHAnsi" w:cstheme="minorHAnsi"/>
                <w:sz w:val="20"/>
                <w:szCs w:val="20"/>
              </w:rPr>
              <w:t>areer-long professional learning</w:t>
            </w:r>
          </w:p>
        </w:tc>
        <w:tc>
          <w:tcPr>
            <w:tcW w:w="5395" w:type="dxa"/>
            <w:tcBorders>
              <w:top w:val="nil"/>
              <w:left w:val="single" w:sz="4" w:space="0" w:color="auto"/>
              <w:bottom w:val="nil"/>
              <w:right w:val="single" w:sz="4" w:space="0" w:color="auto"/>
            </w:tcBorders>
          </w:tcPr>
          <w:p w:rsidR="003A30B1" w:rsidRPr="00884F88" w:rsidRDefault="00361EFE" w:rsidP="00361EFE">
            <w:pPr>
              <w:rPr>
                <w:rFonts w:asciiTheme="minorHAnsi" w:hAnsiTheme="minorHAnsi" w:cstheme="minorHAnsi"/>
                <w:sz w:val="20"/>
                <w:szCs w:val="20"/>
              </w:rPr>
            </w:pPr>
            <w:r w:rsidRPr="00884F88">
              <w:rPr>
                <w:rFonts w:asciiTheme="minorHAnsi" w:hAnsiTheme="minorHAnsi"/>
                <w:sz w:val="20"/>
                <w:szCs w:val="20"/>
              </w:rPr>
              <w:t>Classroom ready</w:t>
            </w:r>
          </w:p>
        </w:tc>
      </w:tr>
      <w:tr w:rsidR="00361EFE" w:rsidRPr="00884F88" w:rsidTr="00807BF9">
        <w:tc>
          <w:tcPr>
            <w:tcW w:w="5395" w:type="dxa"/>
            <w:tcBorders>
              <w:top w:val="nil"/>
              <w:left w:val="single" w:sz="4" w:space="0" w:color="auto"/>
              <w:bottom w:val="nil"/>
              <w:right w:val="single" w:sz="4" w:space="0" w:color="auto"/>
            </w:tcBorders>
          </w:tcPr>
          <w:p w:rsidR="00361EFE"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Prepared</w:t>
            </w:r>
          </w:p>
        </w:tc>
        <w:tc>
          <w:tcPr>
            <w:tcW w:w="5395" w:type="dxa"/>
            <w:tcBorders>
              <w:top w:val="nil"/>
              <w:left w:val="single" w:sz="4" w:space="0" w:color="auto"/>
              <w:bottom w:val="nil"/>
              <w:right w:val="single" w:sz="4" w:space="0" w:color="auto"/>
            </w:tcBorders>
          </w:tcPr>
          <w:p w:rsidR="00361EFE" w:rsidRPr="00884F88" w:rsidRDefault="00361EFE" w:rsidP="00361EFE">
            <w:pPr>
              <w:rPr>
                <w:rFonts w:asciiTheme="minorHAnsi" w:hAnsiTheme="minorHAnsi"/>
                <w:sz w:val="20"/>
                <w:szCs w:val="20"/>
              </w:rPr>
            </w:pPr>
            <w:r w:rsidRPr="00884F88">
              <w:rPr>
                <w:rFonts w:asciiTheme="minorHAnsi" w:hAnsiTheme="minorHAnsi"/>
                <w:sz w:val="20"/>
                <w:szCs w:val="20"/>
              </w:rPr>
              <w:t>Effective</w:t>
            </w:r>
          </w:p>
        </w:tc>
      </w:tr>
      <w:tr w:rsidR="00361EFE" w:rsidRPr="00884F88" w:rsidTr="00807BF9">
        <w:tc>
          <w:tcPr>
            <w:tcW w:w="5395" w:type="dxa"/>
            <w:tcBorders>
              <w:top w:val="nil"/>
              <w:left w:val="single" w:sz="4" w:space="0" w:color="auto"/>
              <w:bottom w:val="nil"/>
              <w:right w:val="single" w:sz="4" w:space="0" w:color="auto"/>
            </w:tcBorders>
          </w:tcPr>
          <w:p w:rsidR="00361EFE" w:rsidRPr="00884F88" w:rsidRDefault="00361EFE" w:rsidP="00DF780B">
            <w:pPr>
              <w:jc w:val="both"/>
              <w:rPr>
                <w:rFonts w:asciiTheme="minorHAnsi" w:hAnsiTheme="minorHAnsi" w:cstheme="minorHAnsi"/>
                <w:sz w:val="20"/>
                <w:szCs w:val="20"/>
              </w:rPr>
            </w:pPr>
            <w:r w:rsidRPr="00884F88">
              <w:rPr>
                <w:rFonts w:asciiTheme="minorHAnsi" w:hAnsiTheme="minorHAnsi" w:cstheme="minorHAnsi"/>
                <w:sz w:val="20"/>
                <w:szCs w:val="20"/>
              </w:rPr>
              <w:t>Research literacy</w:t>
            </w:r>
          </w:p>
        </w:tc>
        <w:tc>
          <w:tcPr>
            <w:tcW w:w="5395" w:type="dxa"/>
            <w:tcBorders>
              <w:top w:val="nil"/>
              <w:left w:val="single" w:sz="4" w:space="0" w:color="auto"/>
              <w:bottom w:val="nil"/>
              <w:right w:val="single" w:sz="4" w:space="0" w:color="auto"/>
            </w:tcBorders>
          </w:tcPr>
          <w:p w:rsidR="00361EFE" w:rsidRPr="00884F88" w:rsidRDefault="00361EFE" w:rsidP="00361EFE">
            <w:pPr>
              <w:rPr>
                <w:rFonts w:asciiTheme="minorHAnsi" w:hAnsiTheme="minorHAnsi"/>
                <w:sz w:val="20"/>
                <w:szCs w:val="20"/>
              </w:rPr>
            </w:pPr>
            <w:r w:rsidRPr="00884F88">
              <w:rPr>
                <w:rFonts w:asciiTheme="minorHAnsi" w:hAnsiTheme="minorHAnsi"/>
                <w:sz w:val="20"/>
                <w:szCs w:val="20"/>
              </w:rPr>
              <w:t>Knowledge of ‘what works’</w:t>
            </w:r>
          </w:p>
        </w:tc>
      </w:tr>
      <w:tr w:rsidR="00361EFE" w:rsidRPr="00884F88" w:rsidTr="00807BF9">
        <w:tc>
          <w:tcPr>
            <w:tcW w:w="5395" w:type="dxa"/>
            <w:tcBorders>
              <w:top w:val="nil"/>
              <w:left w:val="single" w:sz="4" w:space="0" w:color="auto"/>
              <w:bottom w:val="nil"/>
              <w:right w:val="single" w:sz="4" w:space="0" w:color="auto"/>
            </w:tcBorders>
          </w:tcPr>
          <w:p w:rsidR="00361EFE" w:rsidRPr="00884F88" w:rsidRDefault="00884F88" w:rsidP="00DF780B">
            <w:pPr>
              <w:jc w:val="both"/>
              <w:rPr>
                <w:rFonts w:asciiTheme="minorHAnsi" w:hAnsiTheme="minorHAnsi" w:cstheme="minorHAnsi"/>
                <w:sz w:val="20"/>
                <w:szCs w:val="20"/>
              </w:rPr>
            </w:pPr>
            <w:r w:rsidRPr="00884F88">
              <w:rPr>
                <w:rFonts w:asciiTheme="minorHAnsi" w:hAnsiTheme="minorHAnsi"/>
                <w:sz w:val="20"/>
                <w:szCs w:val="20"/>
              </w:rPr>
              <w:t>Impact of ITE programmes</w:t>
            </w:r>
            <w:r w:rsidR="000C7686">
              <w:rPr>
                <w:rFonts w:asciiTheme="minorHAnsi" w:hAnsiTheme="minorHAnsi"/>
                <w:sz w:val="20"/>
                <w:szCs w:val="20"/>
              </w:rPr>
              <w:t xml:space="preserve"> on diversity &amp; social justice goals</w:t>
            </w:r>
          </w:p>
        </w:tc>
        <w:tc>
          <w:tcPr>
            <w:tcW w:w="5395" w:type="dxa"/>
            <w:tcBorders>
              <w:top w:val="nil"/>
              <w:left w:val="single" w:sz="4" w:space="0" w:color="auto"/>
              <w:bottom w:val="nil"/>
              <w:right w:val="single" w:sz="4" w:space="0" w:color="auto"/>
            </w:tcBorders>
          </w:tcPr>
          <w:p w:rsidR="00361EFE" w:rsidRPr="00884F88" w:rsidRDefault="000C7686" w:rsidP="000C7686">
            <w:pPr>
              <w:rPr>
                <w:rFonts w:asciiTheme="minorHAnsi" w:hAnsiTheme="minorHAnsi"/>
                <w:sz w:val="20"/>
                <w:szCs w:val="20"/>
              </w:rPr>
            </w:pPr>
            <w:r>
              <w:rPr>
                <w:rFonts w:asciiTheme="minorHAnsi" w:hAnsiTheme="minorHAnsi"/>
                <w:sz w:val="20"/>
                <w:szCs w:val="20"/>
              </w:rPr>
              <w:t xml:space="preserve">Evidence of impact on </w:t>
            </w:r>
            <w:r w:rsidR="00884F88" w:rsidRPr="00884F88">
              <w:rPr>
                <w:rFonts w:asciiTheme="minorHAnsi" w:hAnsiTheme="minorHAnsi"/>
                <w:sz w:val="20"/>
                <w:szCs w:val="20"/>
              </w:rPr>
              <w:t xml:space="preserve">student </w:t>
            </w:r>
            <w:r>
              <w:rPr>
                <w:rFonts w:asciiTheme="minorHAnsi" w:hAnsiTheme="minorHAnsi"/>
                <w:sz w:val="20"/>
                <w:szCs w:val="20"/>
              </w:rPr>
              <w:t xml:space="preserve">achievement </w:t>
            </w:r>
          </w:p>
        </w:tc>
      </w:tr>
      <w:tr w:rsidR="00884F88" w:rsidRPr="00884F88" w:rsidTr="00807BF9">
        <w:tc>
          <w:tcPr>
            <w:tcW w:w="5395" w:type="dxa"/>
            <w:tcBorders>
              <w:top w:val="nil"/>
              <w:left w:val="single" w:sz="4" w:space="0" w:color="auto"/>
              <w:bottom w:val="single" w:sz="4" w:space="0" w:color="auto"/>
              <w:right w:val="single" w:sz="4" w:space="0" w:color="auto"/>
            </w:tcBorders>
          </w:tcPr>
          <w:p w:rsidR="00884F88" w:rsidRPr="00884F88" w:rsidRDefault="00884F88" w:rsidP="00DF780B">
            <w:pPr>
              <w:jc w:val="both"/>
              <w:rPr>
                <w:rFonts w:asciiTheme="minorHAnsi" w:hAnsiTheme="minorHAnsi"/>
                <w:sz w:val="20"/>
                <w:szCs w:val="20"/>
              </w:rPr>
            </w:pPr>
          </w:p>
        </w:tc>
        <w:tc>
          <w:tcPr>
            <w:tcW w:w="5395" w:type="dxa"/>
            <w:tcBorders>
              <w:top w:val="nil"/>
              <w:left w:val="single" w:sz="4" w:space="0" w:color="auto"/>
              <w:bottom w:val="single" w:sz="4" w:space="0" w:color="auto"/>
              <w:right w:val="single" w:sz="4" w:space="0" w:color="auto"/>
            </w:tcBorders>
          </w:tcPr>
          <w:p w:rsidR="00884F88" w:rsidRPr="00884F88" w:rsidRDefault="00864FFE" w:rsidP="00884F88">
            <w:pPr>
              <w:jc w:val="right"/>
              <w:rPr>
                <w:rFonts w:asciiTheme="minorHAnsi" w:hAnsiTheme="minorHAnsi"/>
                <w:sz w:val="20"/>
                <w:szCs w:val="20"/>
              </w:rPr>
            </w:pPr>
            <w:r>
              <w:rPr>
                <w:rFonts w:asciiTheme="minorHAnsi" w:hAnsiTheme="minorHAnsi"/>
                <w:sz w:val="20"/>
                <w:szCs w:val="20"/>
              </w:rPr>
              <w:t>(Mayer, 2015</w:t>
            </w:r>
            <w:r w:rsidR="00884F88" w:rsidRPr="00884F88">
              <w:rPr>
                <w:rFonts w:asciiTheme="minorHAnsi" w:hAnsiTheme="minorHAnsi"/>
                <w:sz w:val="20"/>
                <w:szCs w:val="20"/>
              </w:rPr>
              <w:t>)</w:t>
            </w:r>
          </w:p>
        </w:tc>
      </w:tr>
    </w:tbl>
    <w:p w:rsidR="003A30B1" w:rsidRPr="0063239C" w:rsidRDefault="003A30B1" w:rsidP="00DF780B">
      <w:pPr>
        <w:jc w:val="both"/>
        <w:rPr>
          <w:rFonts w:asciiTheme="minorHAnsi" w:hAnsiTheme="minorHAnsi" w:cstheme="minorHAnsi"/>
          <w:sz w:val="22"/>
          <w:szCs w:val="22"/>
        </w:rPr>
      </w:pPr>
    </w:p>
    <w:p w:rsidR="007B4E6B" w:rsidRPr="0063239C" w:rsidRDefault="007B4E6B" w:rsidP="00DF780B">
      <w:pPr>
        <w:jc w:val="both"/>
        <w:rPr>
          <w:rFonts w:asciiTheme="minorHAnsi" w:hAnsiTheme="minorHAnsi" w:cstheme="minorHAnsi"/>
          <w:sz w:val="22"/>
          <w:szCs w:val="22"/>
        </w:rPr>
      </w:pPr>
    </w:p>
    <w:p w:rsidR="00B20C5E" w:rsidRDefault="00195752" w:rsidP="0074752B">
      <w:pPr>
        <w:pStyle w:val="Quote"/>
        <w:spacing w:before="0" w:after="0" w:line="240" w:lineRule="auto"/>
        <w:rPr>
          <w:rFonts w:cstheme="minorHAnsi"/>
        </w:rPr>
      </w:pPr>
      <w:r>
        <w:rPr>
          <w:lang w:val="en-GB"/>
        </w:rPr>
        <w:t xml:space="preserve"> </w:t>
      </w:r>
      <w:r w:rsidR="00B20C5E" w:rsidRPr="00B20C5E">
        <w:rPr>
          <w:lang w:val="en-GB"/>
        </w:rPr>
        <w:t>A strong equity perspective assumes that teachers and schools alone cannot</w:t>
      </w:r>
      <w:r w:rsidR="00B20C5E">
        <w:rPr>
          <w:lang w:val="en-GB"/>
        </w:rPr>
        <w:t xml:space="preserve"> </w:t>
      </w:r>
      <w:r w:rsidR="00B20C5E" w:rsidRPr="00B20C5E">
        <w:rPr>
          <w:lang w:val="en-GB"/>
        </w:rPr>
        <w:t>achieve equity; rather, it requires educators working with po</w:t>
      </w:r>
      <w:r w:rsidR="00B20C5E">
        <w:rPr>
          <w:lang w:val="en-GB"/>
        </w:rPr>
        <w:t xml:space="preserve">licymakers and others in larger </w:t>
      </w:r>
      <w:r w:rsidR="00B20C5E" w:rsidRPr="00B20C5E">
        <w:rPr>
          <w:lang w:val="en-GB"/>
        </w:rPr>
        <w:t>social movements to challenge the intersecting systems of in</w:t>
      </w:r>
      <w:r w:rsidR="00B20C5E">
        <w:rPr>
          <w:lang w:val="en-GB"/>
        </w:rPr>
        <w:t xml:space="preserve">equality in schools and society </w:t>
      </w:r>
      <w:r w:rsidR="00B20C5E" w:rsidRPr="00B20C5E">
        <w:rPr>
          <w:lang w:val="en-GB"/>
        </w:rPr>
        <w:t>that produce and reproduce inequity. Working from a strong e</w:t>
      </w:r>
      <w:r w:rsidR="00B20C5E">
        <w:rPr>
          <w:lang w:val="en-GB"/>
        </w:rPr>
        <w:t xml:space="preserve">quity perspective also includes </w:t>
      </w:r>
      <w:r w:rsidR="00B20C5E" w:rsidRPr="00B20C5E">
        <w:rPr>
          <w:lang w:val="en-GB"/>
        </w:rPr>
        <w:t>focusing directly on creating the conditions for high-quality</w:t>
      </w:r>
      <w:r w:rsidR="00B20C5E">
        <w:rPr>
          <w:lang w:val="en-GB"/>
        </w:rPr>
        <w:t xml:space="preserve"> teaching, such as supports for </w:t>
      </w:r>
      <w:r w:rsidR="00B20C5E" w:rsidRPr="00B20C5E">
        <w:rPr>
          <w:lang w:val="en-GB"/>
        </w:rPr>
        <w:t>teachers and students, stable and supportive leadership, i</w:t>
      </w:r>
      <w:r w:rsidR="00B20C5E">
        <w:rPr>
          <w:lang w:val="en-GB"/>
        </w:rPr>
        <w:t xml:space="preserve">ntensive interventions to close </w:t>
      </w:r>
      <w:r w:rsidR="00B20C5E" w:rsidRPr="00B20C5E">
        <w:rPr>
          <w:lang w:val="en-GB"/>
        </w:rPr>
        <w:t>opportunity gaps for students in the early grades, and w</w:t>
      </w:r>
      <w:r w:rsidR="00B20C5E">
        <w:rPr>
          <w:lang w:val="en-GB"/>
        </w:rPr>
        <w:t>ell-suppo</w:t>
      </w:r>
      <w:r w:rsidR="0074752B">
        <w:rPr>
          <w:lang w:val="en-GB"/>
        </w:rPr>
        <w:t>rted teacher induction programs</w:t>
      </w:r>
      <w:r w:rsidR="00B20C5E">
        <w:rPr>
          <w:lang w:val="en-GB"/>
        </w:rPr>
        <w:t xml:space="preserve"> </w:t>
      </w:r>
      <w:r w:rsidR="00B20C5E" w:rsidRPr="00B20C5E">
        <w:rPr>
          <w:i w:val="0"/>
          <w:lang w:val="en-GB"/>
        </w:rPr>
        <w:t>(</w:t>
      </w:r>
      <w:r w:rsidR="00B20C5E" w:rsidRPr="00B20C5E">
        <w:rPr>
          <w:rFonts w:cstheme="minorHAnsi"/>
          <w:i w:val="0"/>
        </w:rPr>
        <w:t>Cochran-Smith et al. 2016:4)</w:t>
      </w:r>
    </w:p>
    <w:p w:rsidR="00594D94" w:rsidRDefault="00594D94" w:rsidP="003C567C">
      <w:pPr>
        <w:jc w:val="both"/>
        <w:rPr>
          <w:rFonts w:asciiTheme="minorHAnsi" w:hAnsiTheme="minorHAnsi"/>
          <w:sz w:val="22"/>
        </w:rPr>
      </w:pPr>
    </w:p>
    <w:p w:rsidR="00BA0CCF" w:rsidRPr="003C567C" w:rsidRDefault="00594D94" w:rsidP="003C567C">
      <w:pPr>
        <w:jc w:val="both"/>
        <w:rPr>
          <w:rFonts w:asciiTheme="minorHAnsi" w:hAnsiTheme="minorHAnsi"/>
          <w:sz w:val="22"/>
        </w:rPr>
      </w:pPr>
      <w:r>
        <w:rPr>
          <w:rFonts w:asciiTheme="minorHAnsi" w:hAnsiTheme="minorHAnsi"/>
          <w:sz w:val="22"/>
        </w:rPr>
        <w:t xml:space="preserve">In the last decade, </w:t>
      </w:r>
      <w:r w:rsidR="00806BBA">
        <w:rPr>
          <w:rFonts w:asciiTheme="minorHAnsi" w:eastAsiaTheme="minorEastAsia" w:hAnsiTheme="minorHAnsi" w:cs="MinionPro-Regular"/>
          <w:sz w:val="22"/>
          <w:szCs w:val="22"/>
          <w:lang w:val="en-GB"/>
        </w:rPr>
        <w:t xml:space="preserve">deliberation </w:t>
      </w:r>
      <w:r w:rsidR="005E0860">
        <w:rPr>
          <w:rFonts w:asciiTheme="minorHAnsi" w:eastAsiaTheme="minorEastAsia" w:hAnsiTheme="minorHAnsi" w:cs="MinionPro-Regular"/>
          <w:sz w:val="22"/>
          <w:szCs w:val="22"/>
          <w:lang w:val="en-GB"/>
        </w:rPr>
        <w:t xml:space="preserve">on teacher policy </w:t>
      </w:r>
      <w:r>
        <w:rPr>
          <w:rFonts w:asciiTheme="minorHAnsi" w:eastAsiaTheme="minorEastAsia" w:hAnsiTheme="minorHAnsi" w:cs="MinionPro-Regular"/>
          <w:sz w:val="22"/>
          <w:szCs w:val="22"/>
          <w:lang w:val="en-GB"/>
        </w:rPr>
        <w:t xml:space="preserve">has centred on </w:t>
      </w:r>
      <w:r w:rsidR="00B75E55">
        <w:rPr>
          <w:rFonts w:asciiTheme="minorHAnsi" w:eastAsiaTheme="minorEastAsia" w:hAnsiTheme="minorHAnsi" w:cs="MinionPro-Regular"/>
          <w:sz w:val="22"/>
          <w:szCs w:val="22"/>
          <w:lang w:val="en-GB"/>
        </w:rPr>
        <w:t xml:space="preserve">labour market needs i.e. raising learning outcomes among the future workforce by </w:t>
      </w:r>
      <w:r w:rsidR="00F50F31" w:rsidRPr="0063239C">
        <w:rPr>
          <w:rFonts w:asciiTheme="minorHAnsi" w:hAnsiTheme="minorHAnsi" w:cstheme="minorHAnsi"/>
          <w:sz w:val="22"/>
          <w:szCs w:val="22"/>
        </w:rPr>
        <w:t>‘attracting, developing &amp; retaining’ (OECD, 2005)</w:t>
      </w:r>
      <w:r w:rsidR="00F50F31">
        <w:rPr>
          <w:rFonts w:asciiTheme="minorHAnsi" w:hAnsiTheme="minorHAnsi" w:cstheme="minorHAnsi"/>
          <w:sz w:val="22"/>
          <w:szCs w:val="22"/>
        </w:rPr>
        <w:t xml:space="preserve"> </w:t>
      </w:r>
      <w:r w:rsidR="00CC43A7">
        <w:rPr>
          <w:rFonts w:asciiTheme="minorHAnsi" w:hAnsiTheme="minorHAnsi" w:cstheme="minorHAnsi"/>
          <w:sz w:val="22"/>
          <w:szCs w:val="22"/>
        </w:rPr>
        <w:t>high calibre practitioners</w:t>
      </w:r>
      <w:r w:rsidR="00F50F31">
        <w:rPr>
          <w:rFonts w:asciiTheme="minorHAnsi" w:hAnsiTheme="minorHAnsi" w:cstheme="minorHAnsi"/>
          <w:sz w:val="22"/>
          <w:szCs w:val="22"/>
        </w:rPr>
        <w:t>.</w:t>
      </w:r>
      <w:r w:rsidR="00F50F31">
        <w:rPr>
          <w:rFonts w:asciiTheme="minorHAnsi" w:eastAsiaTheme="minorEastAsia" w:hAnsiTheme="minorHAnsi" w:cs="MinionPro-Regular"/>
          <w:b/>
          <w:sz w:val="22"/>
          <w:szCs w:val="22"/>
          <w:lang w:val="en-GB"/>
        </w:rPr>
        <w:t xml:space="preserve"> </w:t>
      </w:r>
      <w:r w:rsidR="00703B45">
        <w:rPr>
          <w:rFonts w:asciiTheme="minorHAnsi" w:hAnsiTheme="minorHAnsi" w:cstheme="minorHAnsi"/>
          <w:sz w:val="22"/>
          <w:szCs w:val="22"/>
        </w:rPr>
        <w:t>Within this, v</w:t>
      </w:r>
      <w:r w:rsidR="007E5C69" w:rsidRPr="0063239C">
        <w:rPr>
          <w:rFonts w:asciiTheme="minorHAnsi" w:hAnsiTheme="minorHAnsi" w:cstheme="minorHAnsi"/>
          <w:sz w:val="22"/>
          <w:szCs w:val="22"/>
        </w:rPr>
        <w:t xml:space="preserve">arious strands have </w:t>
      </w:r>
      <w:r w:rsidR="0033542A" w:rsidRPr="0063239C">
        <w:rPr>
          <w:rFonts w:asciiTheme="minorHAnsi" w:hAnsiTheme="minorHAnsi" w:cstheme="minorHAnsi"/>
          <w:sz w:val="22"/>
          <w:szCs w:val="22"/>
        </w:rPr>
        <w:t xml:space="preserve">attracted attention </w:t>
      </w:r>
      <w:r w:rsidR="007E5C69" w:rsidRPr="0063239C">
        <w:rPr>
          <w:rFonts w:asciiTheme="minorHAnsi" w:hAnsiTheme="minorHAnsi" w:cstheme="minorHAnsi"/>
          <w:sz w:val="22"/>
          <w:szCs w:val="22"/>
        </w:rPr>
        <w:t xml:space="preserve">at different junctures influenced by </w:t>
      </w:r>
      <w:r w:rsidR="00CC43A7">
        <w:rPr>
          <w:rFonts w:asciiTheme="minorHAnsi" w:hAnsiTheme="minorHAnsi" w:cstheme="minorHAnsi"/>
          <w:sz w:val="22"/>
          <w:szCs w:val="22"/>
        </w:rPr>
        <w:t xml:space="preserve">the </w:t>
      </w:r>
      <w:r w:rsidR="007E5C69" w:rsidRPr="0063239C">
        <w:rPr>
          <w:rFonts w:asciiTheme="minorHAnsi" w:hAnsiTheme="minorHAnsi" w:cstheme="minorHAnsi"/>
          <w:sz w:val="22"/>
          <w:szCs w:val="22"/>
        </w:rPr>
        <w:t xml:space="preserve">changing demographics of </w:t>
      </w:r>
      <w:r w:rsidR="00CC43A7">
        <w:rPr>
          <w:rFonts w:asciiTheme="minorHAnsi" w:hAnsiTheme="minorHAnsi" w:cstheme="minorHAnsi"/>
          <w:sz w:val="22"/>
          <w:szCs w:val="22"/>
        </w:rPr>
        <w:t xml:space="preserve">the </w:t>
      </w:r>
      <w:r w:rsidR="007E5C69" w:rsidRPr="0063239C">
        <w:rPr>
          <w:rFonts w:asciiTheme="minorHAnsi" w:hAnsiTheme="minorHAnsi" w:cstheme="minorHAnsi"/>
          <w:sz w:val="22"/>
          <w:szCs w:val="22"/>
        </w:rPr>
        <w:t>teaching p</w:t>
      </w:r>
      <w:r w:rsidR="00F50F31">
        <w:rPr>
          <w:rFonts w:asciiTheme="minorHAnsi" w:hAnsiTheme="minorHAnsi" w:cstheme="minorHAnsi"/>
          <w:sz w:val="22"/>
          <w:szCs w:val="22"/>
        </w:rPr>
        <w:t>opulation and pupil population</w:t>
      </w:r>
      <w:r w:rsidR="00096353">
        <w:rPr>
          <w:rFonts w:asciiTheme="minorHAnsi" w:hAnsiTheme="minorHAnsi" w:cstheme="minorHAnsi"/>
          <w:sz w:val="22"/>
          <w:szCs w:val="22"/>
        </w:rPr>
        <w:t xml:space="preserve"> </w:t>
      </w:r>
      <w:r w:rsidR="00FE3D27">
        <w:rPr>
          <w:rFonts w:asciiTheme="minorHAnsi" w:hAnsiTheme="minorHAnsi" w:cstheme="minorHAnsi"/>
          <w:sz w:val="22"/>
          <w:szCs w:val="22"/>
        </w:rPr>
        <w:t xml:space="preserve">(e.g. loss of experienced teachers, </w:t>
      </w:r>
      <w:r w:rsidR="00096353">
        <w:rPr>
          <w:rFonts w:asciiTheme="minorHAnsi" w:hAnsiTheme="minorHAnsi" w:cstheme="minorHAnsi"/>
          <w:sz w:val="22"/>
          <w:szCs w:val="22"/>
        </w:rPr>
        <w:t xml:space="preserve">recruitment challenges, </w:t>
      </w:r>
      <w:r w:rsidR="00FE3D27">
        <w:rPr>
          <w:rFonts w:asciiTheme="minorHAnsi" w:hAnsiTheme="minorHAnsi" w:cstheme="minorHAnsi"/>
          <w:sz w:val="22"/>
          <w:szCs w:val="22"/>
        </w:rPr>
        <w:t xml:space="preserve">attrition among new teachers, distribution </w:t>
      </w:r>
      <w:r w:rsidR="00096353">
        <w:rPr>
          <w:rFonts w:asciiTheme="minorHAnsi" w:hAnsiTheme="minorHAnsi" w:cstheme="minorHAnsi"/>
          <w:sz w:val="22"/>
          <w:szCs w:val="22"/>
        </w:rPr>
        <w:t xml:space="preserve">of teachers </w:t>
      </w:r>
      <w:r w:rsidR="00FE3D27">
        <w:rPr>
          <w:rFonts w:asciiTheme="minorHAnsi" w:hAnsiTheme="minorHAnsi" w:cstheme="minorHAnsi"/>
          <w:sz w:val="22"/>
          <w:szCs w:val="22"/>
        </w:rPr>
        <w:t xml:space="preserve">in high needs subjects and </w:t>
      </w:r>
      <w:r w:rsidR="00096353">
        <w:rPr>
          <w:rFonts w:asciiTheme="minorHAnsi" w:hAnsiTheme="minorHAnsi" w:cstheme="minorHAnsi"/>
          <w:sz w:val="22"/>
          <w:szCs w:val="22"/>
        </w:rPr>
        <w:t>hard to staff schools/region</w:t>
      </w:r>
      <w:r w:rsidR="00FE3D27">
        <w:rPr>
          <w:rFonts w:asciiTheme="minorHAnsi" w:hAnsiTheme="minorHAnsi" w:cstheme="minorHAnsi"/>
          <w:sz w:val="22"/>
          <w:szCs w:val="22"/>
        </w:rPr>
        <w:t>s, div</w:t>
      </w:r>
      <w:r w:rsidR="00096353">
        <w:rPr>
          <w:rFonts w:asciiTheme="minorHAnsi" w:hAnsiTheme="minorHAnsi" w:cstheme="minorHAnsi"/>
          <w:sz w:val="22"/>
          <w:szCs w:val="22"/>
        </w:rPr>
        <w:t>erse learner needs</w:t>
      </w:r>
      <w:r w:rsidR="00FE3D27">
        <w:rPr>
          <w:rFonts w:asciiTheme="minorHAnsi" w:hAnsiTheme="minorHAnsi" w:cstheme="minorHAnsi"/>
          <w:sz w:val="22"/>
          <w:szCs w:val="22"/>
        </w:rPr>
        <w:t>)</w:t>
      </w:r>
      <w:r w:rsidR="00F50F31">
        <w:rPr>
          <w:rFonts w:asciiTheme="minorHAnsi" w:hAnsiTheme="minorHAnsi" w:cstheme="minorHAnsi"/>
          <w:sz w:val="22"/>
          <w:szCs w:val="22"/>
        </w:rPr>
        <w:t>.</w:t>
      </w:r>
      <w:r w:rsidR="00703B45">
        <w:rPr>
          <w:rFonts w:asciiTheme="minorHAnsi" w:hAnsiTheme="minorHAnsi" w:cstheme="minorHAnsi"/>
          <w:sz w:val="22"/>
          <w:szCs w:val="22"/>
        </w:rPr>
        <w:t xml:space="preserve"> </w:t>
      </w:r>
    </w:p>
    <w:p w:rsidR="00F50F31" w:rsidRDefault="00F50F31" w:rsidP="00B20C5E">
      <w:pPr>
        <w:autoSpaceDE w:val="0"/>
        <w:autoSpaceDN w:val="0"/>
        <w:adjustRightInd w:val="0"/>
        <w:rPr>
          <w:rFonts w:asciiTheme="minorHAnsi" w:hAnsiTheme="minorHAnsi" w:cstheme="minorHAnsi"/>
          <w:sz w:val="22"/>
          <w:szCs w:val="22"/>
        </w:rPr>
      </w:pPr>
    </w:p>
    <w:p w:rsidR="00933E1F" w:rsidRDefault="00933E1F" w:rsidP="00933E1F">
      <w:pPr>
        <w:pStyle w:val="Caption"/>
        <w:rPr>
          <w:rFonts w:cstheme="minorHAnsi"/>
          <w:sz w:val="22"/>
          <w:szCs w:val="22"/>
        </w:rPr>
      </w:pPr>
      <w:r>
        <w:t xml:space="preserve">Table </w:t>
      </w:r>
      <w:r w:rsidR="00170245">
        <w:fldChar w:fldCharType="begin"/>
      </w:r>
      <w:r w:rsidR="00170245">
        <w:instrText xml:space="preserve"> SEQ Table \* ARABIC </w:instrText>
      </w:r>
      <w:r w:rsidR="00170245">
        <w:fldChar w:fldCharType="separate"/>
      </w:r>
      <w:r>
        <w:rPr>
          <w:noProof/>
        </w:rPr>
        <w:t>2</w:t>
      </w:r>
      <w:r w:rsidR="00170245">
        <w:rPr>
          <w:noProof/>
        </w:rPr>
        <w:fldChar w:fldCharType="end"/>
      </w:r>
    </w:p>
    <w:tbl>
      <w:tblPr>
        <w:tblStyle w:val="TableGrid"/>
        <w:tblW w:w="0" w:type="auto"/>
        <w:tblLook w:val="04A0" w:firstRow="1" w:lastRow="0" w:firstColumn="1" w:lastColumn="0" w:noHBand="0" w:noVBand="1"/>
      </w:tblPr>
      <w:tblGrid>
        <w:gridCol w:w="4390"/>
        <w:gridCol w:w="6400"/>
      </w:tblGrid>
      <w:tr w:rsidR="00933E1F" w:rsidRPr="00933E1F" w:rsidTr="00653387">
        <w:tc>
          <w:tcPr>
            <w:tcW w:w="4390" w:type="dxa"/>
            <w:shd w:val="clear" w:color="auto" w:fill="DFDFDF" w:themeFill="accent5" w:themeFillTint="33"/>
          </w:tcPr>
          <w:p w:rsidR="00933E1F" w:rsidRPr="00933E1F" w:rsidRDefault="00933E1F" w:rsidP="00B20C5E">
            <w:pPr>
              <w:autoSpaceDE w:val="0"/>
              <w:autoSpaceDN w:val="0"/>
              <w:adjustRightInd w:val="0"/>
              <w:rPr>
                <w:rFonts w:asciiTheme="minorHAnsi" w:hAnsiTheme="minorHAnsi" w:cstheme="minorHAnsi"/>
                <w:b/>
                <w:sz w:val="20"/>
                <w:szCs w:val="20"/>
              </w:rPr>
            </w:pPr>
            <w:r w:rsidRPr="00933E1F">
              <w:rPr>
                <w:rFonts w:asciiTheme="minorHAnsi" w:hAnsiTheme="minorHAnsi" w:cstheme="minorHAnsi"/>
                <w:b/>
                <w:sz w:val="20"/>
                <w:szCs w:val="20"/>
              </w:rPr>
              <w:t xml:space="preserve">Problem </w:t>
            </w:r>
          </w:p>
        </w:tc>
        <w:tc>
          <w:tcPr>
            <w:tcW w:w="6400" w:type="dxa"/>
            <w:shd w:val="clear" w:color="auto" w:fill="DFDFDF" w:themeFill="accent5" w:themeFillTint="33"/>
          </w:tcPr>
          <w:p w:rsidR="00933E1F" w:rsidRPr="00933E1F" w:rsidRDefault="00933E1F" w:rsidP="00BA0CCF">
            <w:pPr>
              <w:jc w:val="both"/>
              <w:rPr>
                <w:rFonts w:asciiTheme="minorHAnsi" w:hAnsiTheme="minorHAnsi" w:cstheme="minorHAnsi"/>
                <w:b/>
                <w:sz w:val="20"/>
                <w:szCs w:val="20"/>
              </w:rPr>
            </w:pPr>
            <w:r w:rsidRPr="00933E1F">
              <w:rPr>
                <w:rFonts w:asciiTheme="minorHAnsi" w:hAnsiTheme="minorHAnsi" w:cstheme="minorHAnsi"/>
                <w:b/>
                <w:sz w:val="20"/>
                <w:szCs w:val="20"/>
              </w:rPr>
              <w:t>Focus</w:t>
            </w:r>
          </w:p>
        </w:tc>
      </w:tr>
      <w:tr w:rsidR="00BA0CCF" w:rsidRPr="00933E1F" w:rsidTr="00653387">
        <w:tc>
          <w:tcPr>
            <w:tcW w:w="4390" w:type="dxa"/>
          </w:tcPr>
          <w:p w:rsidR="00933E1F" w:rsidRPr="00933E1F" w:rsidRDefault="00933E1F" w:rsidP="00B20C5E">
            <w:pPr>
              <w:autoSpaceDE w:val="0"/>
              <w:autoSpaceDN w:val="0"/>
              <w:adjustRightInd w:val="0"/>
              <w:rPr>
                <w:rFonts w:asciiTheme="minorHAnsi" w:hAnsiTheme="minorHAnsi" w:cstheme="minorHAnsi"/>
                <w:i/>
                <w:sz w:val="20"/>
                <w:szCs w:val="20"/>
              </w:rPr>
            </w:pPr>
            <w:r w:rsidRPr="00933E1F">
              <w:rPr>
                <w:rFonts w:asciiTheme="minorHAnsi" w:hAnsiTheme="minorHAnsi" w:cstheme="minorHAnsi"/>
                <w:i/>
                <w:sz w:val="20"/>
                <w:szCs w:val="20"/>
              </w:rPr>
              <w:t>ATTRACTING</w:t>
            </w:r>
          </w:p>
          <w:p w:rsidR="00BA0CCF" w:rsidRPr="00933E1F" w:rsidRDefault="00BA0CCF" w:rsidP="00B20C5E">
            <w:pPr>
              <w:autoSpaceDE w:val="0"/>
              <w:autoSpaceDN w:val="0"/>
              <w:adjustRightInd w:val="0"/>
              <w:rPr>
                <w:rFonts w:asciiTheme="minorHAnsi" w:eastAsiaTheme="minorEastAsia" w:hAnsiTheme="minorHAnsi" w:cs="MinionPro-Regular"/>
                <w:sz w:val="20"/>
                <w:szCs w:val="20"/>
                <w:lang w:val="en-GB"/>
              </w:rPr>
            </w:pPr>
            <w:r w:rsidRPr="00933E1F">
              <w:rPr>
                <w:rFonts w:asciiTheme="minorHAnsi" w:hAnsiTheme="minorHAnsi" w:cstheme="minorHAnsi"/>
                <w:sz w:val="20"/>
                <w:szCs w:val="20"/>
              </w:rPr>
              <w:t>Attracting the ‘right’ applicants</w:t>
            </w:r>
          </w:p>
        </w:tc>
        <w:tc>
          <w:tcPr>
            <w:tcW w:w="6400" w:type="dxa"/>
          </w:tcPr>
          <w:p w:rsidR="00BA0CCF" w:rsidRPr="00933E1F" w:rsidRDefault="00BA0CCF" w:rsidP="00BA0CCF">
            <w:pPr>
              <w:jc w:val="both"/>
              <w:rPr>
                <w:rFonts w:asciiTheme="minorHAnsi" w:hAnsiTheme="minorHAnsi" w:cstheme="minorHAnsi"/>
                <w:sz w:val="20"/>
                <w:szCs w:val="20"/>
              </w:rPr>
            </w:pPr>
            <w:r w:rsidRPr="00933E1F">
              <w:rPr>
                <w:rFonts w:asciiTheme="minorHAnsi" w:hAnsiTheme="minorHAnsi" w:cstheme="minorHAnsi"/>
                <w:sz w:val="20"/>
                <w:szCs w:val="20"/>
              </w:rPr>
              <w:t>Recruitment to the profession, entry criteria</w:t>
            </w:r>
          </w:p>
          <w:p w:rsidR="00BA0CCF" w:rsidRPr="00933E1F" w:rsidRDefault="008066A4" w:rsidP="00B20C5E">
            <w:pPr>
              <w:autoSpaceDE w:val="0"/>
              <w:autoSpaceDN w:val="0"/>
              <w:adjustRightInd w:val="0"/>
              <w:rPr>
                <w:rFonts w:asciiTheme="minorHAnsi" w:eastAsiaTheme="minorEastAsia" w:hAnsiTheme="minorHAnsi" w:cs="MinionPro-Regular"/>
                <w:sz w:val="20"/>
                <w:szCs w:val="20"/>
                <w:lang w:val="en-GB"/>
              </w:rPr>
            </w:pPr>
            <w:r>
              <w:rPr>
                <w:rFonts w:asciiTheme="minorHAnsi" w:eastAsiaTheme="minorEastAsia" w:hAnsiTheme="minorHAnsi" w:cs="MinionPro-Regular"/>
                <w:sz w:val="20"/>
                <w:szCs w:val="20"/>
                <w:lang w:val="en-GB"/>
              </w:rPr>
              <w:t>‘letting the right one in’ (Davies et al, 2016)</w:t>
            </w:r>
          </w:p>
        </w:tc>
      </w:tr>
      <w:tr w:rsidR="00BA0CCF" w:rsidRPr="00933E1F" w:rsidTr="00653387">
        <w:tc>
          <w:tcPr>
            <w:tcW w:w="4390" w:type="dxa"/>
          </w:tcPr>
          <w:p w:rsidR="00933E1F" w:rsidRPr="00933E1F" w:rsidRDefault="00933E1F" w:rsidP="00B20C5E">
            <w:pPr>
              <w:autoSpaceDE w:val="0"/>
              <w:autoSpaceDN w:val="0"/>
              <w:adjustRightInd w:val="0"/>
              <w:rPr>
                <w:rFonts w:asciiTheme="minorHAnsi" w:hAnsiTheme="minorHAnsi" w:cstheme="minorHAnsi"/>
                <w:i/>
                <w:sz w:val="20"/>
                <w:szCs w:val="20"/>
              </w:rPr>
            </w:pPr>
            <w:r w:rsidRPr="00933E1F">
              <w:rPr>
                <w:rFonts w:asciiTheme="minorHAnsi" w:hAnsiTheme="minorHAnsi" w:cstheme="minorHAnsi"/>
                <w:i/>
                <w:sz w:val="20"/>
                <w:szCs w:val="20"/>
              </w:rPr>
              <w:t>DEVELOPING</w:t>
            </w:r>
          </w:p>
          <w:p w:rsidR="00BA0CCF" w:rsidRPr="00933E1F" w:rsidRDefault="00BA0CCF" w:rsidP="00B20C5E">
            <w:pPr>
              <w:autoSpaceDE w:val="0"/>
              <w:autoSpaceDN w:val="0"/>
              <w:adjustRightInd w:val="0"/>
              <w:rPr>
                <w:rFonts w:asciiTheme="minorHAnsi" w:eastAsiaTheme="minorEastAsia" w:hAnsiTheme="minorHAnsi" w:cs="MinionPro-Regular"/>
                <w:sz w:val="20"/>
                <w:szCs w:val="20"/>
                <w:lang w:val="en-GB"/>
              </w:rPr>
            </w:pPr>
            <w:r w:rsidRPr="00933E1F">
              <w:rPr>
                <w:rFonts w:asciiTheme="minorHAnsi" w:hAnsiTheme="minorHAnsi" w:cstheme="minorHAnsi"/>
                <w:sz w:val="20"/>
                <w:szCs w:val="20"/>
              </w:rPr>
              <w:t>The ‘early career teacher problem’ (Mockler, 2018)</w:t>
            </w:r>
          </w:p>
        </w:tc>
        <w:tc>
          <w:tcPr>
            <w:tcW w:w="6400" w:type="dxa"/>
          </w:tcPr>
          <w:p w:rsidR="00BA0CCF" w:rsidRPr="00933E1F" w:rsidRDefault="00BA0CCF" w:rsidP="00BA0CCF">
            <w:pPr>
              <w:jc w:val="both"/>
              <w:rPr>
                <w:rFonts w:asciiTheme="minorHAnsi" w:hAnsiTheme="minorHAnsi" w:cstheme="minorHAnsi"/>
                <w:sz w:val="20"/>
                <w:szCs w:val="20"/>
              </w:rPr>
            </w:pPr>
            <w:r w:rsidRPr="00933E1F">
              <w:rPr>
                <w:rFonts w:asciiTheme="minorHAnsi" w:hAnsiTheme="minorHAnsi" w:cstheme="minorHAnsi"/>
                <w:sz w:val="20"/>
                <w:szCs w:val="20"/>
              </w:rPr>
              <w:t xml:space="preserve">Induction &amp; development pathways, registration, professional standards, professional </w:t>
            </w:r>
            <w:r w:rsidR="0074752B">
              <w:rPr>
                <w:rFonts w:asciiTheme="minorHAnsi" w:hAnsiTheme="minorHAnsi" w:cstheme="minorHAnsi"/>
                <w:sz w:val="20"/>
                <w:szCs w:val="20"/>
              </w:rPr>
              <w:t xml:space="preserve">learning and </w:t>
            </w:r>
            <w:r w:rsidRPr="00933E1F">
              <w:rPr>
                <w:rFonts w:asciiTheme="minorHAnsi" w:hAnsiTheme="minorHAnsi" w:cstheme="minorHAnsi"/>
                <w:sz w:val="20"/>
                <w:szCs w:val="20"/>
              </w:rPr>
              <w:t>development</w:t>
            </w:r>
            <w:r w:rsidR="0074752B">
              <w:rPr>
                <w:rFonts w:asciiTheme="minorHAnsi" w:hAnsiTheme="minorHAnsi" w:cstheme="minorHAnsi"/>
                <w:sz w:val="20"/>
                <w:szCs w:val="20"/>
              </w:rPr>
              <w:t xml:space="preserve"> (PLD)</w:t>
            </w:r>
          </w:p>
          <w:p w:rsidR="00BA0CCF" w:rsidRPr="00933E1F" w:rsidRDefault="00BA0CCF" w:rsidP="00BA0CCF">
            <w:pPr>
              <w:autoSpaceDE w:val="0"/>
              <w:autoSpaceDN w:val="0"/>
              <w:adjustRightInd w:val="0"/>
              <w:rPr>
                <w:rFonts w:asciiTheme="minorHAnsi" w:eastAsiaTheme="minorEastAsia" w:hAnsiTheme="minorHAnsi" w:cs="MinionPro-Regular"/>
                <w:b/>
                <w:sz w:val="20"/>
                <w:szCs w:val="20"/>
                <w:lang w:val="en-GB"/>
              </w:rPr>
            </w:pPr>
          </w:p>
        </w:tc>
      </w:tr>
      <w:tr w:rsidR="00BA0CCF" w:rsidRPr="00933E1F" w:rsidTr="00653387">
        <w:tc>
          <w:tcPr>
            <w:tcW w:w="4390" w:type="dxa"/>
          </w:tcPr>
          <w:p w:rsidR="00933E1F" w:rsidRPr="00933E1F" w:rsidRDefault="00933E1F" w:rsidP="00B20C5E">
            <w:pPr>
              <w:autoSpaceDE w:val="0"/>
              <w:autoSpaceDN w:val="0"/>
              <w:adjustRightInd w:val="0"/>
              <w:rPr>
                <w:rFonts w:asciiTheme="minorHAnsi" w:hAnsiTheme="minorHAnsi" w:cstheme="minorHAnsi"/>
                <w:i/>
                <w:sz w:val="20"/>
                <w:szCs w:val="20"/>
              </w:rPr>
            </w:pPr>
            <w:r w:rsidRPr="00933E1F">
              <w:rPr>
                <w:rFonts w:asciiTheme="minorHAnsi" w:hAnsiTheme="minorHAnsi" w:cstheme="minorHAnsi"/>
                <w:i/>
                <w:sz w:val="20"/>
                <w:szCs w:val="20"/>
              </w:rPr>
              <w:t>RETAINING</w:t>
            </w:r>
          </w:p>
          <w:p w:rsidR="00BA0CCF" w:rsidRPr="00933E1F" w:rsidRDefault="00933E1F" w:rsidP="00B20C5E">
            <w:pPr>
              <w:autoSpaceDE w:val="0"/>
              <w:autoSpaceDN w:val="0"/>
              <w:adjustRightInd w:val="0"/>
              <w:rPr>
                <w:rFonts w:asciiTheme="minorHAnsi" w:eastAsiaTheme="minorEastAsia" w:hAnsiTheme="minorHAnsi" w:cs="MinionPro-Regular"/>
                <w:sz w:val="20"/>
                <w:szCs w:val="20"/>
                <w:lang w:val="en-GB"/>
              </w:rPr>
            </w:pPr>
            <w:r w:rsidRPr="00933E1F">
              <w:rPr>
                <w:rFonts w:asciiTheme="minorHAnsi" w:hAnsiTheme="minorHAnsi" w:cstheme="minorHAnsi"/>
                <w:sz w:val="20"/>
                <w:szCs w:val="20"/>
              </w:rPr>
              <w:t>Career-long professional learning</w:t>
            </w:r>
          </w:p>
        </w:tc>
        <w:tc>
          <w:tcPr>
            <w:tcW w:w="6400" w:type="dxa"/>
          </w:tcPr>
          <w:p w:rsidR="00BA0CCF" w:rsidRPr="00933E1F" w:rsidRDefault="00933E1F" w:rsidP="001233D8">
            <w:pPr>
              <w:autoSpaceDE w:val="0"/>
              <w:autoSpaceDN w:val="0"/>
              <w:adjustRightInd w:val="0"/>
              <w:rPr>
                <w:rFonts w:asciiTheme="minorHAnsi" w:eastAsiaTheme="minorEastAsia" w:hAnsiTheme="minorHAnsi" w:cs="MinionPro-Regular"/>
                <w:sz w:val="20"/>
                <w:szCs w:val="20"/>
                <w:lang w:val="en-GB"/>
              </w:rPr>
            </w:pPr>
            <w:r w:rsidRPr="00933E1F">
              <w:rPr>
                <w:rFonts w:asciiTheme="minorHAnsi" w:eastAsiaTheme="minorEastAsia" w:hAnsiTheme="minorHAnsi" w:cs="MinionPro-Regular"/>
                <w:sz w:val="20"/>
                <w:szCs w:val="20"/>
                <w:lang w:val="en-GB"/>
              </w:rPr>
              <w:t>Promote adaptive expertise</w:t>
            </w:r>
            <w:r w:rsidR="00667ED1">
              <w:rPr>
                <w:rFonts w:asciiTheme="minorHAnsi" w:eastAsiaTheme="minorEastAsia" w:hAnsiTheme="minorHAnsi" w:cs="MinionPro-Regular"/>
                <w:sz w:val="20"/>
                <w:szCs w:val="20"/>
                <w:lang w:val="en-GB"/>
              </w:rPr>
              <w:t xml:space="preserve"> (</w:t>
            </w:r>
            <w:r w:rsidR="001233D8" w:rsidRPr="001233D8">
              <w:rPr>
                <w:rFonts w:asciiTheme="minorHAnsi" w:eastAsiaTheme="minorEastAsia" w:hAnsiTheme="minorHAnsi" w:cs="MinionPro-Regular"/>
                <w:sz w:val="20"/>
                <w:szCs w:val="20"/>
                <w:lang w:val="en-GB"/>
              </w:rPr>
              <w:t>Timperle</w:t>
            </w:r>
            <w:r w:rsidR="001233D8">
              <w:rPr>
                <w:rFonts w:asciiTheme="minorHAnsi" w:eastAsiaTheme="minorEastAsia" w:hAnsiTheme="minorHAnsi" w:cs="MinionPro-Regular"/>
                <w:sz w:val="20"/>
                <w:szCs w:val="20"/>
                <w:lang w:val="en-GB"/>
              </w:rPr>
              <w:t xml:space="preserve">y, 2011; </w:t>
            </w:r>
            <w:r w:rsidR="00772CD7">
              <w:rPr>
                <w:rFonts w:asciiTheme="minorHAnsi" w:eastAsiaTheme="minorEastAsia" w:hAnsiTheme="minorHAnsi" w:cs="MinionPro-Regular"/>
                <w:sz w:val="20"/>
                <w:szCs w:val="20"/>
                <w:lang w:val="en-GB"/>
              </w:rPr>
              <w:t>Le Fevre et al., 2015</w:t>
            </w:r>
            <w:r w:rsidR="00667ED1">
              <w:rPr>
                <w:rFonts w:asciiTheme="minorHAnsi" w:eastAsiaTheme="minorEastAsia" w:hAnsiTheme="minorHAnsi" w:cs="MinionPro-Regular"/>
                <w:sz w:val="20"/>
                <w:szCs w:val="20"/>
                <w:lang w:val="en-GB"/>
              </w:rPr>
              <w:t>)</w:t>
            </w:r>
            <w:r w:rsidRPr="00933E1F">
              <w:rPr>
                <w:rFonts w:asciiTheme="minorHAnsi" w:eastAsiaTheme="minorEastAsia" w:hAnsiTheme="minorHAnsi" w:cs="MinionPro-Regular"/>
                <w:sz w:val="20"/>
                <w:szCs w:val="20"/>
                <w:lang w:val="en-GB"/>
              </w:rPr>
              <w:t>, disciplined innovation</w:t>
            </w:r>
            <w:r w:rsidR="00667ED1">
              <w:rPr>
                <w:rFonts w:asciiTheme="minorHAnsi" w:eastAsiaTheme="minorEastAsia" w:hAnsiTheme="minorHAnsi" w:cs="MinionPro-Regular"/>
                <w:sz w:val="20"/>
                <w:szCs w:val="20"/>
                <w:lang w:val="en-GB"/>
              </w:rPr>
              <w:t xml:space="preserve"> (</w:t>
            </w:r>
            <w:r w:rsidR="00772CD7">
              <w:rPr>
                <w:rFonts w:asciiTheme="minorHAnsi" w:eastAsiaTheme="minorEastAsia" w:hAnsiTheme="minorHAnsi" w:cs="MinionPro-Regular"/>
                <w:sz w:val="20"/>
                <w:szCs w:val="20"/>
                <w:lang w:val="en-GB"/>
              </w:rPr>
              <w:t>Hargreaves, 2003</w:t>
            </w:r>
            <w:r w:rsidR="00667ED1">
              <w:rPr>
                <w:rFonts w:asciiTheme="minorHAnsi" w:eastAsiaTheme="minorEastAsia" w:hAnsiTheme="minorHAnsi" w:cs="MinionPro-Regular"/>
                <w:sz w:val="20"/>
                <w:szCs w:val="20"/>
                <w:lang w:val="en-GB"/>
              </w:rPr>
              <w:t>)</w:t>
            </w:r>
            <w:r w:rsidRPr="00933E1F">
              <w:rPr>
                <w:rFonts w:asciiTheme="minorHAnsi" w:eastAsiaTheme="minorEastAsia" w:hAnsiTheme="minorHAnsi" w:cs="MinionPro-Regular"/>
                <w:sz w:val="20"/>
                <w:szCs w:val="20"/>
                <w:lang w:val="en-GB"/>
              </w:rPr>
              <w:t xml:space="preserve">, </w:t>
            </w:r>
            <w:r w:rsidR="0073291C">
              <w:rPr>
                <w:rFonts w:asciiTheme="minorHAnsi" w:eastAsiaTheme="minorEastAsia" w:hAnsiTheme="minorHAnsi" w:cs="MinionPro-Regular"/>
                <w:sz w:val="20"/>
                <w:szCs w:val="20"/>
                <w:lang w:val="en-GB"/>
              </w:rPr>
              <w:t>collaborative professionalism</w:t>
            </w:r>
            <w:r w:rsidR="00667ED1">
              <w:rPr>
                <w:rFonts w:asciiTheme="minorHAnsi" w:eastAsiaTheme="minorEastAsia" w:hAnsiTheme="minorHAnsi" w:cs="MinionPro-Regular"/>
                <w:sz w:val="20"/>
                <w:szCs w:val="20"/>
                <w:lang w:val="en-GB"/>
              </w:rPr>
              <w:t xml:space="preserve"> (Fullan and Hargreaves, 2016), </w:t>
            </w:r>
            <w:r w:rsidRPr="00933E1F">
              <w:rPr>
                <w:rFonts w:asciiTheme="minorHAnsi" w:eastAsiaTheme="minorEastAsia" w:hAnsiTheme="minorHAnsi" w:cs="MinionPro-Regular"/>
                <w:sz w:val="20"/>
                <w:szCs w:val="20"/>
                <w:lang w:val="en-GB"/>
              </w:rPr>
              <w:t>inquiry</w:t>
            </w:r>
            <w:r w:rsidR="0074752B">
              <w:rPr>
                <w:rFonts w:asciiTheme="minorHAnsi" w:eastAsiaTheme="minorEastAsia" w:hAnsiTheme="minorHAnsi" w:cs="MinionPro-Regular"/>
                <w:sz w:val="20"/>
                <w:szCs w:val="20"/>
                <w:lang w:val="en-GB"/>
              </w:rPr>
              <w:t xml:space="preserve"> cycles</w:t>
            </w:r>
            <w:r w:rsidR="001233D8">
              <w:rPr>
                <w:rFonts w:asciiTheme="minorHAnsi" w:eastAsiaTheme="minorEastAsia" w:hAnsiTheme="minorHAnsi" w:cs="MinionPro-Regular"/>
                <w:sz w:val="20"/>
                <w:szCs w:val="20"/>
                <w:lang w:val="en-GB"/>
              </w:rPr>
              <w:t xml:space="preserve"> (Timperley, Halbert &amp; Kaser 2014</w:t>
            </w:r>
            <w:r w:rsidR="0072770F" w:rsidRPr="001233D8">
              <w:rPr>
                <w:rFonts w:asciiTheme="minorHAnsi" w:eastAsiaTheme="minorEastAsia" w:hAnsiTheme="minorHAnsi" w:cs="MinionPro-Regular"/>
                <w:sz w:val="20"/>
                <w:szCs w:val="20"/>
                <w:lang w:val="en-GB"/>
              </w:rPr>
              <w:t>)</w:t>
            </w:r>
          </w:p>
        </w:tc>
      </w:tr>
    </w:tbl>
    <w:p w:rsidR="00BA0CCF" w:rsidRPr="00B20C5E" w:rsidRDefault="00BA0CCF" w:rsidP="00B20C5E">
      <w:pPr>
        <w:autoSpaceDE w:val="0"/>
        <w:autoSpaceDN w:val="0"/>
        <w:adjustRightInd w:val="0"/>
        <w:rPr>
          <w:rFonts w:asciiTheme="minorHAnsi" w:eastAsiaTheme="minorEastAsia" w:hAnsiTheme="minorHAnsi" w:cs="MinionPro-Regular"/>
          <w:sz w:val="22"/>
          <w:szCs w:val="22"/>
          <w:lang w:val="en-GB"/>
        </w:rPr>
      </w:pPr>
    </w:p>
    <w:p w:rsidR="002300D0" w:rsidRDefault="002300D0" w:rsidP="007E5C69">
      <w:pPr>
        <w:autoSpaceDE w:val="0"/>
        <w:autoSpaceDN w:val="0"/>
        <w:adjustRightInd w:val="0"/>
        <w:rPr>
          <w:rFonts w:asciiTheme="minorHAnsi" w:eastAsiaTheme="minorEastAsia" w:hAnsiTheme="minorHAnsi" w:cs="MinionPro-Regular"/>
          <w:b/>
          <w:sz w:val="22"/>
          <w:szCs w:val="22"/>
          <w:lang w:val="en-GB"/>
        </w:rPr>
      </w:pPr>
    </w:p>
    <w:p w:rsidR="003B08C9" w:rsidRPr="00D54220" w:rsidRDefault="003B08C9" w:rsidP="00A42C0D">
      <w:pPr>
        <w:autoSpaceDE w:val="0"/>
        <w:autoSpaceDN w:val="0"/>
        <w:adjustRightInd w:val="0"/>
        <w:jc w:val="center"/>
        <w:rPr>
          <w:rFonts w:asciiTheme="minorHAnsi" w:eastAsiaTheme="minorEastAsia" w:hAnsiTheme="minorHAnsi" w:cs="MinionPro-Regular"/>
          <w:b/>
          <w:sz w:val="22"/>
          <w:szCs w:val="22"/>
          <w:lang w:val="en-GB"/>
        </w:rPr>
      </w:pPr>
      <w:r w:rsidRPr="00D54220">
        <w:rPr>
          <w:rFonts w:asciiTheme="minorHAnsi" w:eastAsiaTheme="minorEastAsia" w:hAnsiTheme="minorHAnsi" w:cs="MinionPro-Regular"/>
          <w:b/>
          <w:sz w:val="22"/>
          <w:szCs w:val="22"/>
          <w:lang w:val="en-GB"/>
        </w:rPr>
        <w:t>What is the problem that schools-led ITE</w:t>
      </w:r>
      <w:r w:rsidR="00933E1F" w:rsidRPr="00D54220">
        <w:rPr>
          <w:rFonts w:asciiTheme="minorHAnsi" w:eastAsiaTheme="minorEastAsia" w:hAnsiTheme="minorHAnsi" w:cs="MinionPro-Regular"/>
          <w:b/>
          <w:sz w:val="22"/>
          <w:szCs w:val="22"/>
          <w:lang w:val="en-GB"/>
        </w:rPr>
        <w:t xml:space="preserve"> </w:t>
      </w:r>
      <w:r w:rsidRPr="00D54220">
        <w:rPr>
          <w:rFonts w:asciiTheme="minorHAnsi" w:eastAsiaTheme="minorEastAsia" w:hAnsiTheme="minorHAnsi" w:cs="MinionPro-Regular"/>
          <w:b/>
          <w:sz w:val="22"/>
          <w:szCs w:val="22"/>
          <w:lang w:val="en-GB"/>
        </w:rPr>
        <w:t>is designed to address?</w:t>
      </w:r>
    </w:p>
    <w:p w:rsidR="000C7686" w:rsidRDefault="000C7686" w:rsidP="00A42C0D">
      <w:pPr>
        <w:autoSpaceDE w:val="0"/>
        <w:autoSpaceDN w:val="0"/>
        <w:adjustRightInd w:val="0"/>
        <w:jc w:val="center"/>
        <w:rPr>
          <w:rFonts w:asciiTheme="minorHAnsi" w:eastAsiaTheme="minorEastAsia" w:hAnsiTheme="minorHAnsi" w:cs="MinionPro-Regular"/>
          <w:b/>
          <w:sz w:val="22"/>
          <w:szCs w:val="22"/>
          <w:lang w:val="en-GB"/>
        </w:rPr>
      </w:pPr>
      <w:r w:rsidRPr="00D54220">
        <w:rPr>
          <w:rFonts w:asciiTheme="minorHAnsi" w:eastAsiaTheme="minorEastAsia" w:hAnsiTheme="minorHAnsi" w:cs="MinionPro-Regular"/>
          <w:b/>
          <w:sz w:val="22"/>
          <w:szCs w:val="22"/>
          <w:lang w:val="en-GB"/>
        </w:rPr>
        <w:t>What evidence</w:t>
      </w:r>
      <w:r>
        <w:rPr>
          <w:rFonts w:asciiTheme="minorHAnsi" w:eastAsiaTheme="minorEastAsia" w:hAnsiTheme="minorHAnsi" w:cs="MinionPro-Regular"/>
          <w:b/>
          <w:sz w:val="22"/>
          <w:szCs w:val="22"/>
          <w:lang w:val="en-GB"/>
        </w:rPr>
        <w:t xml:space="preserve"> is there that policy instruments have been effective?</w:t>
      </w:r>
    </w:p>
    <w:p w:rsidR="000C7686" w:rsidRDefault="000C7686" w:rsidP="00A42C0D">
      <w:pPr>
        <w:autoSpaceDE w:val="0"/>
        <w:autoSpaceDN w:val="0"/>
        <w:adjustRightInd w:val="0"/>
        <w:jc w:val="center"/>
        <w:rPr>
          <w:rFonts w:asciiTheme="minorHAnsi" w:eastAsiaTheme="minorEastAsia" w:hAnsiTheme="minorHAnsi" w:cs="MinionPro-Regular"/>
          <w:b/>
          <w:sz w:val="22"/>
          <w:szCs w:val="22"/>
          <w:lang w:val="en-GB"/>
        </w:rPr>
      </w:pPr>
      <w:r>
        <w:rPr>
          <w:rFonts w:asciiTheme="minorHAnsi" w:eastAsiaTheme="minorEastAsia" w:hAnsiTheme="minorHAnsi" w:cs="MinionPro-Regular"/>
          <w:b/>
          <w:sz w:val="22"/>
          <w:szCs w:val="22"/>
          <w:lang w:val="en-GB"/>
        </w:rPr>
        <w:t>How robust is the evidence base?</w:t>
      </w:r>
    </w:p>
    <w:p w:rsidR="002300D0" w:rsidRPr="002300D0" w:rsidRDefault="002300D0" w:rsidP="007E5C69">
      <w:pPr>
        <w:autoSpaceDE w:val="0"/>
        <w:autoSpaceDN w:val="0"/>
        <w:adjustRightInd w:val="0"/>
        <w:rPr>
          <w:rFonts w:asciiTheme="minorHAnsi" w:eastAsiaTheme="minorEastAsia" w:hAnsiTheme="minorHAnsi" w:cs="MinionPro-Regular"/>
          <w:b/>
          <w:sz w:val="22"/>
          <w:szCs w:val="22"/>
          <w:lang w:val="en-GB"/>
        </w:rPr>
      </w:pPr>
    </w:p>
    <w:p w:rsidR="00174ADC" w:rsidRDefault="002300D0" w:rsidP="002300D0">
      <w:pPr>
        <w:pStyle w:val="Caption"/>
        <w:rPr>
          <w:rFonts w:cs="MinionPro-Regular"/>
          <w:sz w:val="22"/>
          <w:szCs w:val="22"/>
          <w:lang w:val="en-GB"/>
        </w:rPr>
      </w:pPr>
      <w:r>
        <w:t xml:space="preserve">Figure </w:t>
      </w:r>
      <w:r w:rsidR="0012122F">
        <w:t>1</w:t>
      </w:r>
    </w:p>
    <w:p w:rsidR="00660A62" w:rsidRPr="00F83E63" w:rsidRDefault="00174ADC" w:rsidP="00F83E63">
      <w:pPr>
        <w:autoSpaceDE w:val="0"/>
        <w:autoSpaceDN w:val="0"/>
        <w:adjustRightInd w:val="0"/>
        <w:rPr>
          <w:rFonts w:asciiTheme="minorHAnsi" w:eastAsiaTheme="minorEastAsia" w:hAnsiTheme="minorHAnsi" w:cs="MinionPro-Regular"/>
          <w:sz w:val="22"/>
          <w:szCs w:val="22"/>
          <w:lang w:val="en-GB"/>
        </w:rPr>
      </w:pPr>
      <w:r>
        <w:rPr>
          <w:rFonts w:asciiTheme="minorHAnsi" w:eastAsiaTheme="minorEastAsia" w:hAnsiTheme="minorHAnsi" w:cs="MinionPro-Regular"/>
          <w:noProof/>
          <w:sz w:val="22"/>
          <w:szCs w:val="22"/>
          <w:lang w:val="en-GB" w:eastAsia="en-GB"/>
        </w:rPr>
        <w:drawing>
          <wp:inline distT="0" distB="0" distL="0" distR="0">
            <wp:extent cx="6734175" cy="2828925"/>
            <wp:effectExtent l="38100" t="0" r="952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50F31" w:rsidRPr="00EB6190" w:rsidRDefault="00F50F31" w:rsidP="00EB6190">
      <w:pPr>
        <w:pStyle w:val="Heading1"/>
        <w:rPr>
          <w:sz w:val="28"/>
        </w:rPr>
      </w:pPr>
      <w:r w:rsidRPr="00EB6190">
        <w:rPr>
          <w:sz w:val="28"/>
        </w:rPr>
        <w:lastRenderedPageBreak/>
        <w:t xml:space="preserve">What do we know about high quality teacher preparation? How do we know? </w:t>
      </w:r>
    </w:p>
    <w:p w:rsidR="00BC596F" w:rsidRPr="005F258D" w:rsidRDefault="00A42C0D" w:rsidP="0036780F">
      <w:pPr>
        <w:autoSpaceDE w:val="0"/>
        <w:autoSpaceDN w:val="0"/>
        <w:adjustRightInd w:val="0"/>
        <w:jc w:val="both"/>
        <w:rPr>
          <w:rFonts w:asciiTheme="minorHAnsi" w:eastAsiaTheme="minorEastAsia" w:hAnsiTheme="minorHAnsi" w:cs="Calibri"/>
          <w:color w:val="auto"/>
          <w:sz w:val="22"/>
          <w:szCs w:val="22"/>
          <w:lang w:val="en-GB"/>
        </w:rPr>
      </w:pPr>
      <w:r w:rsidRPr="001C26B6">
        <w:rPr>
          <w:rFonts w:asciiTheme="minorHAnsi" w:hAnsiTheme="minorHAnsi" w:cstheme="minorHAnsi"/>
          <w:color w:val="auto"/>
          <w:sz w:val="22"/>
          <w:szCs w:val="22"/>
        </w:rPr>
        <w:t xml:space="preserve">The body of </w:t>
      </w:r>
      <w:r w:rsidR="00BC596F" w:rsidRPr="001C26B6">
        <w:rPr>
          <w:rFonts w:asciiTheme="minorHAnsi" w:hAnsiTheme="minorHAnsi" w:cstheme="minorHAnsi"/>
          <w:color w:val="auto"/>
          <w:sz w:val="22"/>
          <w:szCs w:val="22"/>
        </w:rPr>
        <w:t>evaluative research</w:t>
      </w:r>
      <w:r w:rsidR="00F83E63">
        <w:rPr>
          <w:rFonts w:asciiTheme="minorHAnsi" w:hAnsiTheme="minorHAnsi" w:cstheme="minorHAnsi"/>
          <w:color w:val="auto"/>
          <w:sz w:val="22"/>
          <w:szCs w:val="22"/>
        </w:rPr>
        <w:t xml:space="preserve"> to inform policy and programme development</w:t>
      </w:r>
      <w:r w:rsidR="00BC596F" w:rsidRPr="001C26B6">
        <w:rPr>
          <w:rFonts w:asciiTheme="minorHAnsi" w:hAnsiTheme="minorHAnsi" w:cstheme="minorHAnsi"/>
          <w:color w:val="auto"/>
          <w:sz w:val="22"/>
          <w:szCs w:val="22"/>
        </w:rPr>
        <w:t xml:space="preserve"> in teacher education</w:t>
      </w:r>
      <w:r w:rsidRPr="001C26B6">
        <w:rPr>
          <w:rFonts w:asciiTheme="minorHAnsi" w:hAnsiTheme="minorHAnsi" w:cstheme="minorHAnsi"/>
          <w:color w:val="auto"/>
          <w:sz w:val="22"/>
          <w:szCs w:val="22"/>
        </w:rPr>
        <w:t xml:space="preserve"> is limited</w:t>
      </w:r>
      <w:r w:rsidR="005F258D">
        <w:rPr>
          <w:rFonts w:asciiTheme="minorHAnsi" w:hAnsiTheme="minorHAnsi" w:cstheme="minorHAnsi"/>
          <w:color w:val="auto"/>
          <w:sz w:val="22"/>
          <w:szCs w:val="22"/>
        </w:rPr>
        <w:t xml:space="preserve"> </w:t>
      </w:r>
      <w:r w:rsidR="001C26B6" w:rsidRPr="001C26B6">
        <w:rPr>
          <w:rFonts w:asciiTheme="minorHAnsi" w:eastAsiaTheme="minorEastAsia" w:hAnsiTheme="minorHAnsi" w:cs="AGaramond-Regular"/>
          <w:color w:val="auto"/>
          <w:sz w:val="22"/>
          <w:szCs w:val="22"/>
          <w:lang w:val="en-GB"/>
        </w:rPr>
        <w:t>(</w:t>
      </w:r>
      <w:r w:rsidR="00F83E63">
        <w:rPr>
          <w:rFonts w:asciiTheme="minorHAnsi" w:eastAsiaTheme="minorEastAsia" w:hAnsiTheme="minorHAnsi" w:cs="AGaramond-Regular"/>
          <w:color w:val="auto"/>
          <w:sz w:val="22"/>
          <w:szCs w:val="22"/>
          <w:lang w:val="en-GB"/>
        </w:rPr>
        <w:t xml:space="preserve">Louden, 2008; </w:t>
      </w:r>
      <w:r w:rsidR="001C26B6" w:rsidRPr="001C26B6">
        <w:rPr>
          <w:rFonts w:asciiTheme="minorHAnsi" w:eastAsiaTheme="minorEastAsia" w:hAnsiTheme="minorHAnsi" w:cs="AGaramond-Regular"/>
          <w:color w:val="auto"/>
          <w:sz w:val="22"/>
          <w:szCs w:val="22"/>
          <w:lang w:val="en-GB"/>
        </w:rPr>
        <w:t>Menter et al</w:t>
      </w:r>
      <w:r w:rsidR="005F258D">
        <w:rPr>
          <w:rFonts w:asciiTheme="minorHAnsi" w:eastAsiaTheme="minorEastAsia" w:hAnsiTheme="minorHAnsi" w:cs="AGaramond-Regular"/>
          <w:color w:val="auto"/>
          <w:sz w:val="22"/>
          <w:szCs w:val="22"/>
          <w:lang w:val="en-GB"/>
        </w:rPr>
        <w:t>.</w:t>
      </w:r>
      <w:r w:rsidR="001C26B6" w:rsidRPr="001C26B6">
        <w:rPr>
          <w:rFonts w:asciiTheme="minorHAnsi" w:eastAsiaTheme="minorEastAsia" w:hAnsiTheme="minorHAnsi" w:cs="AGaramond-Regular"/>
          <w:color w:val="auto"/>
          <w:sz w:val="22"/>
          <w:szCs w:val="22"/>
          <w:lang w:val="en-GB"/>
        </w:rPr>
        <w:t xml:space="preserve">, 2010; </w:t>
      </w:r>
      <w:r w:rsidR="001C26B6" w:rsidRPr="001C26B6">
        <w:rPr>
          <w:rFonts w:asciiTheme="minorHAnsi" w:hAnsiTheme="minorHAnsi" w:cstheme="minorHAnsi"/>
          <w:color w:val="auto"/>
          <w:sz w:val="22"/>
          <w:szCs w:val="22"/>
        </w:rPr>
        <w:t>Murray et al.,</w:t>
      </w:r>
      <w:r w:rsidR="00B75E55">
        <w:rPr>
          <w:rFonts w:asciiTheme="minorHAnsi" w:hAnsiTheme="minorHAnsi" w:cstheme="minorHAnsi"/>
          <w:color w:val="auto"/>
          <w:sz w:val="22"/>
          <w:szCs w:val="22"/>
        </w:rPr>
        <w:t xml:space="preserve"> 2008</w:t>
      </w:r>
      <w:r w:rsidR="00F83E63">
        <w:rPr>
          <w:rFonts w:asciiTheme="minorHAnsi" w:hAnsiTheme="minorHAnsi" w:cstheme="minorHAnsi"/>
          <w:color w:val="auto"/>
          <w:sz w:val="22"/>
          <w:szCs w:val="22"/>
        </w:rPr>
        <w:t>; Sleeter, 2014</w:t>
      </w:r>
      <w:r w:rsidR="00B75E55">
        <w:rPr>
          <w:rFonts w:asciiTheme="minorHAnsi" w:hAnsiTheme="minorHAnsi" w:cstheme="minorHAnsi"/>
          <w:color w:val="auto"/>
          <w:sz w:val="22"/>
          <w:szCs w:val="22"/>
        </w:rPr>
        <w:t>).</w:t>
      </w:r>
      <w:r w:rsidR="005F258D">
        <w:rPr>
          <w:rFonts w:asciiTheme="minorHAnsi" w:hAnsiTheme="minorHAnsi" w:cstheme="minorHAnsi"/>
          <w:color w:val="auto"/>
          <w:sz w:val="22"/>
          <w:szCs w:val="22"/>
        </w:rPr>
        <w:t xml:space="preserve"> </w:t>
      </w:r>
      <w:r w:rsidR="00BC596F" w:rsidRPr="00BC596F">
        <w:rPr>
          <w:rFonts w:asciiTheme="minorHAnsi" w:hAnsiTheme="minorHAnsi" w:cstheme="minorHAnsi"/>
          <w:color w:val="auto"/>
          <w:sz w:val="22"/>
          <w:szCs w:val="22"/>
        </w:rPr>
        <w:t xml:space="preserve">At present, there </w:t>
      </w:r>
      <w:r w:rsidR="009E7FD2">
        <w:rPr>
          <w:rFonts w:asciiTheme="minorHAnsi" w:hAnsiTheme="minorHAnsi" w:cstheme="minorHAnsi"/>
          <w:color w:val="auto"/>
          <w:sz w:val="22"/>
          <w:szCs w:val="22"/>
        </w:rPr>
        <w:t xml:space="preserve">are </w:t>
      </w:r>
      <w:r w:rsidR="00BC596F" w:rsidRPr="00BC596F">
        <w:rPr>
          <w:rFonts w:asciiTheme="minorHAnsi" w:hAnsiTheme="minorHAnsi" w:cstheme="minorHAnsi"/>
          <w:color w:val="auto"/>
          <w:sz w:val="22"/>
          <w:szCs w:val="22"/>
        </w:rPr>
        <w:t>few large-scale quantitative studies with a longitudinal focus and little evidence of large-scale systematic research undertaken to inform the on-going development of teacher education programmes in the UK and beyond. Cochran-Smi</w:t>
      </w:r>
      <w:r w:rsidR="009E7FD2">
        <w:rPr>
          <w:rFonts w:asciiTheme="minorHAnsi" w:hAnsiTheme="minorHAnsi" w:cstheme="minorHAnsi"/>
          <w:color w:val="auto"/>
          <w:sz w:val="22"/>
          <w:szCs w:val="22"/>
        </w:rPr>
        <w:t>th and Zeichner, (2005:5) note, ‘</w:t>
      </w:r>
      <w:r w:rsidR="00BC596F" w:rsidRPr="00BC596F">
        <w:rPr>
          <w:rFonts w:asciiTheme="minorHAnsi" w:hAnsiTheme="minorHAnsi" w:cstheme="minorHAnsi"/>
          <w:color w:val="auto"/>
          <w:sz w:val="22"/>
          <w:szCs w:val="22"/>
        </w:rPr>
        <w:t>this dearth of larger and longer studies is the case, at least in part, because teacher education has rarely been a research priority for funding agencies or a focus of well-s</w:t>
      </w:r>
      <w:r w:rsidR="009E7FD2">
        <w:rPr>
          <w:rFonts w:asciiTheme="minorHAnsi" w:hAnsiTheme="minorHAnsi" w:cstheme="minorHAnsi"/>
          <w:color w:val="auto"/>
          <w:sz w:val="22"/>
          <w:szCs w:val="22"/>
        </w:rPr>
        <w:t>upported programmatic research.’</w:t>
      </w:r>
      <w:r w:rsidR="00F83E63" w:rsidRPr="00F83E63">
        <w:rPr>
          <w:rFonts w:asciiTheme="minorHAnsi" w:eastAsiaTheme="minorEastAsia" w:hAnsiTheme="minorHAnsi" w:cs="Calibri"/>
          <w:color w:val="auto"/>
          <w:sz w:val="22"/>
          <w:szCs w:val="22"/>
          <w:lang w:val="en-GB"/>
        </w:rPr>
        <w:t xml:space="preserve"> </w:t>
      </w:r>
      <w:r w:rsidR="00F83E63">
        <w:rPr>
          <w:rFonts w:asciiTheme="minorHAnsi" w:eastAsiaTheme="minorEastAsia" w:hAnsiTheme="minorHAnsi" w:cs="Calibri"/>
          <w:color w:val="auto"/>
          <w:sz w:val="22"/>
          <w:szCs w:val="22"/>
          <w:lang w:val="en-GB"/>
        </w:rPr>
        <w:t>A decade later, Mayer (2015:15) notes the field remains ‘under-developed, under-theorised, fragmentary and parochial, with little longitudinal, cumulative or meta-analytic work providing evidence of impact to inform policy and practice’.</w:t>
      </w:r>
      <w:r w:rsidR="00BC596F" w:rsidRPr="00BC596F">
        <w:rPr>
          <w:rFonts w:asciiTheme="minorHAnsi" w:hAnsiTheme="minorHAnsi" w:cstheme="minorHAnsi"/>
          <w:color w:val="auto"/>
          <w:sz w:val="22"/>
          <w:szCs w:val="22"/>
        </w:rPr>
        <w:t xml:space="preserve"> </w:t>
      </w:r>
      <w:r w:rsidR="00BC596F">
        <w:rPr>
          <w:rFonts w:asciiTheme="minorHAnsi" w:eastAsiaTheme="minorEastAsia" w:hAnsiTheme="minorHAnsi" w:cs="TimesNewRomanPS"/>
          <w:color w:val="auto"/>
          <w:sz w:val="22"/>
          <w:szCs w:val="22"/>
          <w:lang w:val="en-GB"/>
        </w:rPr>
        <w:t xml:space="preserve">Notable exceptions include </w:t>
      </w:r>
      <w:r w:rsidR="006B15BD">
        <w:rPr>
          <w:rFonts w:asciiTheme="minorHAnsi" w:eastAsiaTheme="minorEastAsia" w:hAnsiTheme="minorHAnsi" w:cs="TimesNewRomanPS"/>
          <w:color w:val="auto"/>
          <w:sz w:val="22"/>
          <w:szCs w:val="22"/>
          <w:lang w:val="en-GB"/>
        </w:rPr>
        <w:t xml:space="preserve">the </w:t>
      </w:r>
      <w:r w:rsidR="006B15BD" w:rsidRPr="006B15BD">
        <w:rPr>
          <w:rFonts w:asciiTheme="minorHAnsi" w:eastAsiaTheme="minorEastAsia" w:hAnsiTheme="minorHAnsi" w:cs="TimesNewRomanPS"/>
          <w:i/>
          <w:color w:val="auto"/>
          <w:sz w:val="22"/>
          <w:szCs w:val="22"/>
          <w:lang w:val="en-GB"/>
        </w:rPr>
        <w:t>Becoming a Teacher</w:t>
      </w:r>
      <w:r w:rsidR="006B15BD">
        <w:rPr>
          <w:rFonts w:asciiTheme="minorHAnsi" w:eastAsiaTheme="minorEastAsia" w:hAnsiTheme="minorHAnsi" w:cs="TimesNewRomanPS"/>
          <w:color w:val="auto"/>
          <w:sz w:val="22"/>
          <w:szCs w:val="22"/>
          <w:lang w:val="en-GB"/>
        </w:rPr>
        <w:t xml:space="preserve"> study</w:t>
      </w:r>
      <w:r w:rsidR="00D63A1B">
        <w:rPr>
          <w:rFonts w:asciiTheme="minorHAnsi" w:eastAsiaTheme="minorEastAsia" w:hAnsiTheme="minorHAnsi" w:cs="TimesNewRomanPS"/>
          <w:color w:val="auto"/>
          <w:sz w:val="22"/>
          <w:szCs w:val="22"/>
          <w:lang w:val="en-GB"/>
        </w:rPr>
        <w:t xml:space="preserve"> </w:t>
      </w:r>
      <w:r w:rsidR="00094796">
        <w:rPr>
          <w:rFonts w:asciiTheme="minorHAnsi" w:eastAsiaTheme="minorEastAsia" w:hAnsiTheme="minorHAnsi" w:cs="TimesNewRomanPS"/>
          <w:color w:val="auto"/>
          <w:sz w:val="22"/>
          <w:szCs w:val="22"/>
          <w:lang w:val="en-GB"/>
        </w:rPr>
        <w:t xml:space="preserve">(BaT) </w:t>
      </w:r>
      <w:r w:rsidR="00D63A1B">
        <w:rPr>
          <w:rFonts w:asciiTheme="minorHAnsi" w:eastAsiaTheme="minorEastAsia" w:hAnsiTheme="minorHAnsi" w:cs="TimesNewRomanPS"/>
          <w:color w:val="auto"/>
          <w:sz w:val="22"/>
          <w:szCs w:val="22"/>
          <w:lang w:val="en-GB"/>
        </w:rPr>
        <w:t>in England</w:t>
      </w:r>
      <w:r w:rsidR="006B15BD">
        <w:rPr>
          <w:rFonts w:asciiTheme="minorHAnsi" w:eastAsiaTheme="minorEastAsia" w:hAnsiTheme="minorHAnsi" w:cs="TimesNewRomanPS"/>
          <w:color w:val="auto"/>
          <w:sz w:val="22"/>
          <w:szCs w:val="22"/>
          <w:lang w:val="en-GB"/>
        </w:rPr>
        <w:t xml:space="preserve">, 2003-2009 (Hobson et al., 2009), </w:t>
      </w:r>
      <w:r w:rsidR="00BC596F" w:rsidRPr="0063239C">
        <w:rPr>
          <w:rFonts w:asciiTheme="minorHAnsi" w:eastAsiaTheme="minorHAnsi" w:hAnsiTheme="minorHAnsi" w:cs="MinionPro-Regular"/>
          <w:sz w:val="22"/>
          <w:szCs w:val="22"/>
          <w:lang w:val="en-GB"/>
        </w:rPr>
        <w:t xml:space="preserve">the </w:t>
      </w:r>
      <w:r w:rsidR="00BC596F" w:rsidRPr="00BD122D">
        <w:rPr>
          <w:rFonts w:asciiTheme="minorHAnsi" w:eastAsiaTheme="minorEastAsia" w:hAnsiTheme="minorHAnsi" w:cs="Calibri"/>
          <w:i/>
          <w:color w:val="auto"/>
          <w:sz w:val="22"/>
          <w:szCs w:val="22"/>
          <w:lang w:val="en-GB"/>
        </w:rPr>
        <w:t>Studying the Eff</w:t>
      </w:r>
      <w:r w:rsidR="00BD122D" w:rsidRPr="00BD122D">
        <w:rPr>
          <w:rFonts w:asciiTheme="minorHAnsi" w:eastAsiaTheme="minorEastAsia" w:hAnsiTheme="minorHAnsi" w:cs="Calibri"/>
          <w:i/>
          <w:color w:val="auto"/>
          <w:sz w:val="22"/>
          <w:szCs w:val="22"/>
          <w:lang w:val="en-GB"/>
        </w:rPr>
        <w:t>ectiveness of Teacher Education</w:t>
      </w:r>
      <w:r w:rsidR="001C26B6">
        <w:rPr>
          <w:rFonts w:asciiTheme="minorHAnsi" w:eastAsiaTheme="minorEastAsia" w:hAnsiTheme="minorHAnsi" w:cs="Calibri"/>
          <w:color w:val="auto"/>
          <w:sz w:val="22"/>
          <w:szCs w:val="22"/>
          <w:lang w:val="en-GB"/>
        </w:rPr>
        <w:t xml:space="preserve"> (SETE) project</w:t>
      </w:r>
      <w:r w:rsidR="00BC596F" w:rsidRPr="0063239C">
        <w:rPr>
          <w:rFonts w:asciiTheme="minorHAnsi" w:eastAsiaTheme="minorEastAsia" w:hAnsiTheme="minorHAnsi" w:cs="Calibri"/>
          <w:color w:val="auto"/>
          <w:sz w:val="22"/>
          <w:szCs w:val="22"/>
          <w:lang w:val="en-GB"/>
        </w:rPr>
        <w:t xml:space="preserve"> (four‐year longitudinal study that followed 5,000 graduates from initia</w:t>
      </w:r>
      <w:r w:rsidR="009E7FD2">
        <w:rPr>
          <w:rFonts w:asciiTheme="minorHAnsi" w:eastAsiaTheme="minorEastAsia" w:hAnsiTheme="minorHAnsi" w:cs="Calibri"/>
          <w:color w:val="auto"/>
          <w:sz w:val="22"/>
          <w:szCs w:val="22"/>
          <w:lang w:val="en-GB"/>
        </w:rPr>
        <w:t>l teacher education in 2010-</w:t>
      </w:r>
      <w:r w:rsidR="00BC596F" w:rsidRPr="0063239C">
        <w:rPr>
          <w:rFonts w:asciiTheme="minorHAnsi" w:eastAsiaTheme="minorEastAsia" w:hAnsiTheme="minorHAnsi" w:cs="Calibri"/>
          <w:color w:val="auto"/>
          <w:sz w:val="22"/>
          <w:szCs w:val="22"/>
          <w:lang w:val="en-GB"/>
        </w:rPr>
        <w:t xml:space="preserve">2011 in Victoria and Queensland, to their first teaching positions and subsequent </w:t>
      </w:r>
      <w:r w:rsidR="009E7FD2">
        <w:rPr>
          <w:rFonts w:asciiTheme="minorHAnsi" w:eastAsiaTheme="minorEastAsia" w:hAnsiTheme="minorHAnsi" w:cs="Calibri"/>
          <w:color w:val="auto"/>
          <w:sz w:val="22"/>
          <w:szCs w:val="22"/>
          <w:lang w:val="en-GB"/>
        </w:rPr>
        <w:t>career path</w:t>
      </w:r>
      <w:r w:rsidR="00BC596F">
        <w:rPr>
          <w:rFonts w:asciiTheme="minorHAnsi" w:eastAsiaTheme="minorEastAsia" w:hAnsiTheme="minorHAnsi" w:cs="Calibri"/>
          <w:color w:val="auto"/>
          <w:sz w:val="22"/>
          <w:szCs w:val="22"/>
          <w:lang w:val="en-GB"/>
        </w:rPr>
        <w:t xml:space="preserve">; and Scotland’s </w:t>
      </w:r>
      <w:r w:rsidR="00BC596F" w:rsidRPr="00BD122D">
        <w:rPr>
          <w:rFonts w:asciiTheme="minorHAnsi" w:eastAsiaTheme="minorEastAsia" w:hAnsiTheme="minorHAnsi" w:cs="Calibri"/>
          <w:i/>
          <w:color w:val="auto"/>
          <w:sz w:val="22"/>
          <w:szCs w:val="22"/>
          <w:lang w:val="en-GB"/>
        </w:rPr>
        <w:t>Measuring Quality in In</w:t>
      </w:r>
      <w:r w:rsidR="00BD122D" w:rsidRPr="00BD122D">
        <w:rPr>
          <w:rFonts w:asciiTheme="minorHAnsi" w:eastAsiaTheme="minorEastAsia" w:hAnsiTheme="minorHAnsi" w:cs="Calibri"/>
          <w:i/>
          <w:color w:val="auto"/>
          <w:sz w:val="22"/>
          <w:szCs w:val="22"/>
          <w:lang w:val="en-GB"/>
        </w:rPr>
        <w:t>i</w:t>
      </w:r>
      <w:r w:rsidR="00BC596F" w:rsidRPr="00BD122D">
        <w:rPr>
          <w:rFonts w:asciiTheme="minorHAnsi" w:eastAsiaTheme="minorEastAsia" w:hAnsiTheme="minorHAnsi" w:cs="Calibri"/>
          <w:i/>
          <w:color w:val="auto"/>
          <w:sz w:val="22"/>
          <w:szCs w:val="22"/>
          <w:lang w:val="en-GB"/>
        </w:rPr>
        <w:t>tial Teacher Educat</w:t>
      </w:r>
      <w:r w:rsidR="00BD122D" w:rsidRPr="00BD122D">
        <w:rPr>
          <w:rFonts w:asciiTheme="minorHAnsi" w:eastAsiaTheme="minorEastAsia" w:hAnsiTheme="minorHAnsi" w:cs="Calibri"/>
          <w:i/>
          <w:color w:val="auto"/>
          <w:sz w:val="22"/>
          <w:szCs w:val="22"/>
          <w:lang w:val="en-GB"/>
        </w:rPr>
        <w:t>i</w:t>
      </w:r>
      <w:r w:rsidR="00BC596F" w:rsidRPr="00BD122D">
        <w:rPr>
          <w:rFonts w:asciiTheme="minorHAnsi" w:eastAsiaTheme="minorEastAsia" w:hAnsiTheme="minorHAnsi" w:cs="Calibri"/>
          <w:i/>
          <w:color w:val="auto"/>
          <w:sz w:val="22"/>
          <w:szCs w:val="22"/>
          <w:lang w:val="en-GB"/>
        </w:rPr>
        <w:t>on</w:t>
      </w:r>
      <w:r w:rsidR="00BC596F">
        <w:rPr>
          <w:rFonts w:asciiTheme="minorHAnsi" w:eastAsiaTheme="minorEastAsia" w:hAnsiTheme="minorHAnsi" w:cs="Calibri"/>
          <w:color w:val="auto"/>
          <w:sz w:val="22"/>
          <w:szCs w:val="22"/>
          <w:lang w:val="en-GB"/>
        </w:rPr>
        <w:t xml:space="preserve"> project (MQuITE)</w:t>
      </w:r>
      <w:r w:rsidR="009E7FD2">
        <w:rPr>
          <w:rFonts w:asciiTheme="minorHAnsi" w:eastAsiaTheme="minorEastAsia" w:hAnsiTheme="minorHAnsi" w:cs="Calibri"/>
          <w:color w:val="auto"/>
          <w:sz w:val="22"/>
          <w:szCs w:val="22"/>
          <w:lang w:val="en-GB"/>
        </w:rPr>
        <w:t xml:space="preserve"> initiated in August 2017</w:t>
      </w:r>
      <w:r w:rsidR="00BC596F" w:rsidRPr="0063239C">
        <w:rPr>
          <w:rFonts w:asciiTheme="minorHAnsi" w:eastAsiaTheme="minorHAnsi" w:hAnsiTheme="minorHAnsi" w:cs="MinionPro-Regular"/>
          <w:sz w:val="22"/>
          <w:szCs w:val="22"/>
          <w:lang w:val="en-GB"/>
        </w:rPr>
        <w:t>.</w:t>
      </w:r>
      <w:r w:rsidR="00BC596F">
        <w:rPr>
          <w:rFonts w:asciiTheme="minorHAnsi" w:eastAsiaTheme="minorEastAsia" w:hAnsiTheme="minorHAnsi" w:cs="Calibri"/>
          <w:color w:val="auto"/>
          <w:sz w:val="22"/>
          <w:szCs w:val="22"/>
          <w:lang w:val="en-GB"/>
        </w:rPr>
        <w:t xml:space="preserve"> The final r</w:t>
      </w:r>
      <w:r w:rsidR="00BC596F" w:rsidRPr="0063239C">
        <w:rPr>
          <w:rFonts w:asciiTheme="minorHAnsi" w:eastAsiaTheme="minorEastAsia" w:hAnsiTheme="minorHAnsi" w:cs="Calibri"/>
          <w:color w:val="auto"/>
          <w:sz w:val="22"/>
          <w:szCs w:val="22"/>
          <w:lang w:val="en-GB"/>
        </w:rPr>
        <w:t xml:space="preserve">eport of the </w:t>
      </w:r>
      <w:r w:rsidR="00BC596F" w:rsidRPr="0063239C">
        <w:rPr>
          <w:rFonts w:asciiTheme="minorHAnsi" w:eastAsiaTheme="minorEastAsia" w:hAnsiTheme="minorHAnsi" w:cs="Calibri-Italic"/>
          <w:i/>
          <w:iCs/>
          <w:color w:val="auto"/>
          <w:sz w:val="22"/>
          <w:szCs w:val="22"/>
          <w:lang w:val="en-GB"/>
        </w:rPr>
        <w:t>BERA</w:t>
      </w:r>
      <w:r w:rsidR="00BC596F" w:rsidRPr="0063239C">
        <w:rPr>
          <w:rFonts w:asciiTheme="minorHAnsi" w:eastAsiaTheme="minorEastAsia" w:hAnsiTheme="minorHAnsi" w:cs="Cambria Math"/>
          <w:i/>
          <w:iCs/>
          <w:color w:val="auto"/>
          <w:sz w:val="22"/>
          <w:szCs w:val="22"/>
          <w:lang w:val="en-GB"/>
        </w:rPr>
        <w:t>‐</w:t>
      </w:r>
      <w:r w:rsidR="00BC596F">
        <w:rPr>
          <w:rFonts w:asciiTheme="minorHAnsi" w:eastAsiaTheme="minorEastAsia" w:hAnsiTheme="minorHAnsi" w:cs="Calibri-Italic"/>
          <w:i/>
          <w:iCs/>
          <w:color w:val="auto"/>
          <w:sz w:val="22"/>
          <w:szCs w:val="22"/>
          <w:lang w:val="en-GB"/>
        </w:rPr>
        <w:t xml:space="preserve">RSA </w:t>
      </w:r>
      <w:r w:rsidR="00BC596F" w:rsidRPr="0063239C">
        <w:rPr>
          <w:rFonts w:asciiTheme="minorHAnsi" w:eastAsiaTheme="minorEastAsia" w:hAnsiTheme="minorHAnsi" w:cs="Calibri-Italic"/>
          <w:i/>
          <w:iCs/>
          <w:color w:val="auto"/>
          <w:sz w:val="22"/>
          <w:szCs w:val="22"/>
          <w:lang w:val="en-GB"/>
        </w:rPr>
        <w:t xml:space="preserve">Inquiry into the Role of Research in Teacher Education </w:t>
      </w:r>
      <w:r w:rsidR="009E7FD2">
        <w:rPr>
          <w:rFonts w:asciiTheme="minorHAnsi" w:eastAsiaTheme="minorEastAsia" w:hAnsiTheme="minorHAnsi" w:cs="Calibri"/>
          <w:color w:val="auto"/>
          <w:sz w:val="22"/>
          <w:szCs w:val="22"/>
          <w:lang w:val="en-GB"/>
        </w:rPr>
        <w:t>highlighted</w:t>
      </w:r>
      <w:r w:rsidR="00BC596F" w:rsidRPr="0063239C">
        <w:rPr>
          <w:rFonts w:asciiTheme="minorHAnsi" w:eastAsiaTheme="minorEastAsia" w:hAnsiTheme="minorHAnsi" w:cs="Calibri"/>
          <w:color w:val="auto"/>
          <w:sz w:val="22"/>
          <w:szCs w:val="22"/>
          <w:lang w:val="en-GB"/>
        </w:rPr>
        <w:t xml:space="preserve"> the ‘need for more research</w:t>
      </w:r>
      <w:r w:rsidR="00BC596F">
        <w:rPr>
          <w:rFonts w:asciiTheme="minorHAnsi" w:eastAsiaTheme="minorEastAsia" w:hAnsiTheme="minorHAnsi" w:cs="Calibri-Italic"/>
          <w:i/>
          <w:iCs/>
          <w:color w:val="auto"/>
          <w:sz w:val="22"/>
          <w:szCs w:val="22"/>
          <w:lang w:val="en-GB"/>
        </w:rPr>
        <w:t xml:space="preserve"> </w:t>
      </w:r>
      <w:r w:rsidR="00BC596F" w:rsidRPr="0063239C">
        <w:rPr>
          <w:rFonts w:asciiTheme="minorHAnsi" w:eastAsiaTheme="minorEastAsia" w:hAnsiTheme="minorHAnsi" w:cs="Calibri"/>
          <w:color w:val="auto"/>
          <w:sz w:val="22"/>
          <w:szCs w:val="22"/>
          <w:lang w:val="en-GB"/>
        </w:rPr>
        <w:t>that looks systematically at the effectiveness of different types of teacher education’ (BERA,</w:t>
      </w:r>
      <w:r w:rsidR="00BC596F">
        <w:rPr>
          <w:rFonts w:asciiTheme="minorHAnsi" w:eastAsiaTheme="minorEastAsia" w:hAnsiTheme="minorHAnsi" w:cs="Calibri-Italic"/>
          <w:i/>
          <w:iCs/>
          <w:color w:val="auto"/>
          <w:sz w:val="22"/>
          <w:szCs w:val="22"/>
          <w:lang w:val="en-GB"/>
        </w:rPr>
        <w:t xml:space="preserve"> </w:t>
      </w:r>
      <w:r w:rsidR="00BC596F" w:rsidRPr="0063239C">
        <w:rPr>
          <w:rFonts w:asciiTheme="minorHAnsi" w:eastAsiaTheme="minorEastAsia" w:hAnsiTheme="minorHAnsi" w:cs="Calibri"/>
          <w:color w:val="auto"/>
          <w:sz w:val="22"/>
          <w:szCs w:val="22"/>
          <w:lang w:val="en-GB"/>
        </w:rPr>
        <w:t>2014, p.37).</w:t>
      </w:r>
      <w:r w:rsidR="00BC596F">
        <w:rPr>
          <w:rFonts w:asciiTheme="minorHAnsi" w:eastAsiaTheme="minorEastAsia" w:hAnsiTheme="minorHAnsi" w:cs="Calibri"/>
          <w:color w:val="auto"/>
          <w:sz w:val="22"/>
          <w:szCs w:val="22"/>
          <w:lang w:val="en-GB"/>
        </w:rPr>
        <w:t xml:space="preserve"> </w:t>
      </w:r>
      <w:r w:rsidR="00BC596F" w:rsidRPr="0063239C">
        <w:rPr>
          <w:rFonts w:asciiTheme="minorHAnsi" w:hAnsiTheme="minorHAnsi" w:cstheme="minorHAnsi"/>
          <w:sz w:val="22"/>
          <w:szCs w:val="22"/>
        </w:rPr>
        <w:t>More research is needed to inform program design, delivery and assessment</w:t>
      </w:r>
      <w:r w:rsidR="001C3673">
        <w:rPr>
          <w:rFonts w:asciiTheme="minorHAnsi" w:hAnsiTheme="minorHAnsi" w:cstheme="minorHAnsi"/>
          <w:sz w:val="22"/>
          <w:szCs w:val="22"/>
        </w:rPr>
        <w:t xml:space="preserve">, in addition to a focus on </w:t>
      </w:r>
      <w:r w:rsidR="00DC6D35">
        <w:rPr>
          <w:rFonts w:asciiTheme="minorHAnsi" w:hAnsiTheme="minorHAnsi" w:cstheme="minorHAnsi"/>
          <w:sz w:val="22"/>
          <w:szCs w:val="22"/>
        </w:rPr>
        <w:t xml:space="preserve">the relative </w:t>
      </w:r>
      <w:r w:rsidR="001C3673">
        <w:rPr>
          <w:rFonts w:asciiTheme="minorHAnsi" w:hAnsiTheme="minorHAnsi" w:cstheme="minorHAnsi"/>
          <w:sz w:val="22"/>
          <w:szCs w:val="22"/>
        </w:rPr>
        <w:t>costs and benefits</w:t>
      </w:r>
      <w:r w:rsidR="00DC6D35">
        <w:rPr>
          <w:rFonts w:asciiTheme="minorHAnsi" w:hAnsiTheme="minorHAnsi" w:cstheme="minorHAnsi"/>
          <w:sz w:val="22"/>
          <w:szCs w:val="22"/>
        </w:rPr>
        <w:t xml:space="preserve"> of different routes to Qualified Teacher Status (QTS)</w:t>
      </w:r>
      <w:r w:rsidR="001C3673">
        <w:rPr>
          <w:rFonts w:asciiTheme="minorHAnsi" w:hAnsiTheme="minorHAnsi" w:cstheme="minorHAnsi"/>
          <w:sz w:val="22"/>
          <w:szCs w:val="22"/>
        </w:rPr>
        <w:t xml:space="preserve"> (Allen et al., 2016</w:t>
      </w:r>
      <w:r w:rsidR="00864FFE">
        <w:rPr>
          <w:rFonts w:asciiTheme="minorHAnsi" w:hAnsiTheme="minorHAnsi" w:cstheme="minorHAnsi"/>
          <w:sz w:val="22"/>
          <w:szCs w:val="22"/>
        </w:rPr>
        <w:t>; NAO, 2016</w:t>
      </w:r>
      <w:r w:rsidR="001C3673">
        <w:rPr>
          <w:rFonts w:asciiTheme="minorHAnsi" w:hAnsiTheme="minorHAnsi" w:cstheme="minorHAnsi"/>
          <w:sz w:val="22"/>
          <w:szCs w:val="22"/>
        </w:rPr>
        <w:t>)</w:t>
      </w:r>
      <w:r w:rsidR="00BC596F" w:rsidRPr="0063239C">
        <w:rPr>
          <w:rFonts w:asciiTheme="minorHAnsi" w:hAnsiTheme="minorHAnsi" w:cstheme="minorHAnsi"/>
          <w:sz w:val="22"/>
          <w:szCs w:val="22"/>
        </w:rPr>
        <w:t xml:space="preserve">. It will not </w:t>
      </w:r>
      <w:r w:rsidR="001C26B6">
        <w:rPr>
          <w:rFonts w:asciiTheme="minorHAnsi" w:hAnsiTheme="minorHAnsi" w:cstheme="minorHAnsi"/>
          <w:sz w:val="22"/>
          <w:szCs w:val="22"/>
        </w:rPr>
        <w:t>be possible to benchmark England’s</w:t>
      </w:r>
      <w:r w:rsidR="00BC596F" w:rsidRPr="0063239C">
        <w:rPr>
          <w:rFonts w:asciiTheme="minorHAnsi" w:hAnsiTheme="minorHAnsi" w:cstheme="minorHAnsi"/>
          <w:sz w:val="22"/>
          <w:szCs w:val="22"/>
        </w:rPr>
        <w:t xml:space="preserve"> </w:t>
      </w:r>
      <w:r w:rsidR="009E7FD2">
        <w:rPr>
          <w:rFonts w:asciiTheme="minorHAnsi" w:hAnsiTheme="minorHAnsi" w:cstheme="minorHAnsi"/>
          <w:sz w:val="22"/>
          <w:szCs w:val="22"/>
        </w:rPr>
        <w:t xml:space="preserve">diverse </w:t>
      </w:r>
      <w:r w:rsidR="00BC596F" w:rsidRPr="0063239C">
        <w:rPr>
          <w:rFonts w:asciiTheme="minorHAnsi" w:hAnsiTheme="minorHAnsi" w:cstheme="minorHAnsi"/>
          <w:sz w:val="22"/>
          <w:szCs w:val="22"/>
        </w:rPr>
        <w:t>provision against other national systems without reliable and representative data on content, implementation and outcomes. The fragmentation of the system</w:t>
      </w:r>
      <w:r w:rsidR="005F258D">
        <w:rPr>
          <w:rFonts w:asciiTheme="minorHAnsi" w:hAnsiTheme="minorHAnsi" w:cstheme="minorHAnsi"/>
          <w:sz w:val="22"/>
          <w:szCs w:val="22"/>
        </w:rPr>
        <w:t xml:space="preserve"> in England</w:t>
      </w:r>
      <w:r w:rsidR="00BC596F" w:rsidRPr="0063239C">
        <w:rPr>
          <w:rFonts w:asciiTheme="minorHAnsi" w:hAnsiTheme="minorHAnsi" w:cstheme="minorHAnsi"/>
          <w:sz w:val="22"/>
          <w:szCs w:val="22"/>
        </w:rPr>
        <w:t xml:space="preserve"> with a proliferation of provi</w:t>
      </w:r>
      <w:r w:rsidR="009E7FD2">
        <w:rPr>
          <w:rFonts w:asciiTheme="minorHAnsi" w:hAnsiTheme="minorHAnsi" w:cstheme="minorHAnsi"/>
          <w:sz w:val="22"/>
          <w:szCs w:val="22"/>
        </w:rPr>
        <w:t xml:space="preserve">ders </w:t>
      </w:r>
      <w:r w:rsidR="00F83E63">
        <w:rPr>
          <w:rFonts w:asciiTheme="minorHAnsi" w:hAnsiTheme="minorHAnsi" w:cstheme="minorHAnsi"/>
          <w:sz w:val="22"/>
          <w:szCs w:val="22"/>
        </w:rPr>
        <w:t>is</w:t>
      </w:r>
      <w:r w:rsidR="00BC596F" w:rsidRPr="0063239C">
        <w:rPr>
          <w:rFonts w:asciiTheme="minorHAnsi" w:hAnsiTheme="minorHAnsi" w:cstheme="minorHAnsi"/>
          <w:sz w:val="22"/>
          <w:szCs w:val="22"/>
        </w:rPr>
        <w:t xml:space="preserve"> an additional challenge. </w:t>
      </w:r>
    </w:p>
    <w:p w:rsidR="00577F97" w:rsidRDefault="00577F97" w:rsidP="00577F97"/>
    <w:p w:rsidR="00BC596F" w:rsidRPr="00FE209C" w:rsidRDefault="00BC596F" w:rsidP="00FE209C">
      <w:pPr>
        <w:autoSpaceDE w:val="0"/>
        <w:autoSpaceDN w:val="0"/>
        <w:adjustRightInd w:val="0"/>
        <w:jc w:val="both"/>
        <w:rPr>
          <w:rFonts w:asciiTheme="minorHAnsi" w:eastAsiaTheme="minorEastAsia" w:hAnsiTheme="minorHAnsi" w:cs="BemboMTPro-Regular"/>
          <w:color w:val="auto"/>
          <w:sz w:val="22"/>
          <w:szCs w:val="22"/>
          <w:lang w:val="en-GB"/>
        </w:rPr>
      </w:pPr>
      <w:r w:rsidRPr="00577F97">
        <w:rPr>
          <w:rFonts w:asciiTheme="minorHAnsi" w:hAnsiTheme="minorHAnsi"/>
          <w:sz w:val="22"/>
          <w:szCs w:val="22"/>
        </w:rPr>
        <w:t>Reviews of teacher education that distil lessons from around the world (figure 1) typically use international assessment data as a proxy measure for educational standards. The appeal of policy borrowing is strong</w:t>
      </w:r>
      <w:r w:rsidR="0072770F">
        <w:rPr>
          <w:rFonts w:asciiTheme="minorHAnsi" w:hAnsiTheme="minorHAnsi"/>
          <w:sz w:val="22"/>
          <w:szCs w:val="22"/>
        </w:rPr>
        <w:t xml:space="preserve"> (</w:t>
      </w:r>
      <w:r w:rsidR="0072770F" w:rsidRPr="0072770F">
        <w:rPr>
          <w:rFonts w:asciiTheme="minorHAnsi" w:hAnsiTheme="minorHAnsi"/>
          <w:sz w:val="22"/>
          <w:szCs w:val="22"/>
        </w:rPr>
        <w:t>Barber &amp; Mourshed, 2007; Mourshed,</w:t>
      </w:r>
      <w:r w:rsidR="0072770F">
        <w:rPr>
          <w:rFonts w:asciiTheme="minorHAnsi" w:hAnsiTheme="minorHAnsi"/>
          <w:sz w:val="22"/>
          <w:szCs w:val="22"/>
        </w:rPr>
        <w:t xml:space="preserve"> </w:t>
      </w:r>
      <w:r w:rsidR="0072770F" w:rsidRPr="0072770F">
        <w:rPr>
          <w:rFonts w:asciiTheme="minorHAnsi" w:hAnsiTheme="minorHAnsi"/>
          <w:sz w:val="22"/>
          <w:szCs w:val="22"/>
        </w:rPr>
        <w:t>Chijioke &amp; Barber, 2010</w:t>
      </w:r>
      <w:r w:rsidR="000D4C70">
        <w:rPr>
          <w:rFonts w:asciiTheme="minorHAnsi" w:hAnsiTheme="minorHAnsi"/>
          <w:sz w:val="22"/>
          <w:szCs w:val="22"/>
        </w:rPr>
        <w:t xml:space="preserve">; </w:t>
      </w:r>
      <w:r w:rsidR="0069665C">
        <w:rPr>
          <w:rFonts w:asciiTheme="minorHAnsi" w:hAnsiTheme="minorHAnsi"/>
          <w:sz w:val="22"/>
          <w:szCs w:val="22"/>
        </w:rPr>
        <w:t xml:space="preserve">Ingvarson et al., 2014; </w:t>
      </w:r>
      <w:r w:rsidR="000D4C70" w:rsidRPr="000D4C70">
        <w:rPr>
          <w:rFonts w:asciiTheme="minorHAnsi" w:hAnsiTheme="minorHAnsi"/>
          <w:sz w:val="22"/>
          <w:szCs w:val="22"/>
        </w:rPr>
        <w:t>Darling-Hammond &amp; Rothman 2015</w:t>
      </w:r>
      <w:r w:rsidR="009E2B48">
        <w:rPr>
          <w:rFonts w:asciiTheme="minorHAnsi" w:hAnsiTheme="minorHAnsi"/>
          <w:sz w:val="22"/>
          <w:szCs w:val="22"/>
        </w:rPr>
        <w:t>; Jensen et al., 2016</w:t>
      </w:r>
      <w:r w:rsidR="0072770F" w:rsidRPr="0072770F">
        <w:rPr>
          <w:rFonts w:asciiTheme="minorHAnsi" w:hAnsiTheme="minorHAnsi"/>
          <w:sz w:val="22"/>
          <w:szCs w:val="22"/>
        </w:rPr>
        <w:t>)</w:t>
      </w:r>
      <w:r w:rsidRPr="00577F97">
        <w:rPr>
          <w:rFonts w:asciiTheme="minorHAnsi" w:hAnsiTheme="minorHAnsi"/>
          <w:sz w:val="22"/>
          <w:szCs w:val="22"/>
        </w:rPr>
        <w:t xml:space="preserve">. However, rapid evidence review can result in de-contextualised and de-politicised advocacy of global best practices if </w:t>
      </w:r>
      <w:r w:rsidR="001C26B6">
        <w:rPr>
          <w:rFonts w:asciiTheme="minorHAnsi" w:hAnsiTheme="minorHAnsi"/>
          <w:sz w:val="22"/>
          <w:szCs w:val="22"/>
        </w:rPr>
        <w:t>in</w:t>
      </w:r>
      <w:r w:rsidRPr="00577F97">
        <w:rPr>
          <w:rFonts w:asciiTheme="minorHAnsi" w:hAnsiTheme="minorHAnsi"/>
          <w:sz w:val="22"/>
          <w:szCs w:val="22"/>
        </w:rPr>
        <w:t>sufficient consideration is afforded to how the problem of</w:t>
      </w:r>
      <w:r w:rsidR="00807BF9">
        <w:rPr>
          <w:rFonts w:asciiTheme="minorHAnsi" w:hAnsiTheme="minorHAnsi"/>
          <w:sz w:val="22"/>
          <w:szCs w:val="22"/>
        </w:rPr>
        <w:t xml:space="preserve"> teacher quality has been posed,</w:t>
      </w:r>
      <w:r w:rsidRPr="00577F97">
        <w:rPr>
          <w:rFonts w:asciiTheme="minorHAnsi" w:hAnsiTheme="minorHAnsi"/>
          <w:sz w:val="22"/>
          <w:szCs w:val="22"/>
        </w:rPr>
        <w:t xml:space="preserve"> and the limitations of equating pupil test scores with the efficacy of teacher preparation.</w:t>
      </w:r>
      <w:r>
        <w:rPr>
          <w:rFonts w:asciiTheme="minorHAnsi" w:hAnsiTheme="minorHAnsi"/>
          <w:sz w:val="22"/>
          <w:szCs w:val="22"/>
        </w:rPr>
        <w:t xml:space="preserve"> </w:t>
      </w:r>
      <w:r w:rsidRPr="00725905">
        <w:rPr>
          <w:rFonts w:asciiTheme="minorHAnsi" w:hAnsiTheme="minorHAnsi" w:cstheme="minorHAnsi"/>
          <w:sz w:val="22"/>
          <w:szCs w:val="22"/>
        </w:rPr>
        <w:t xml:space="preserve">International performance tables are constructed using single achievement measures (test scores in particular curriculum areas). Interpretation of results requires consideration of long-term development trends for the countries, in addition to appraisal of the reliability and validity of tests and sampling standards. A number of studies have challenged the validity of standardised testing and rank ordering of countries, </w:t>
      </w:r>
      <w:r w:rsidR="001C26B6">
        <w:rPr>
          <w:rFonts w:asciiTheme="minorHAnsi" w:hAnsiTheme="minorHAnsi" w:cstheme="minorHAnsi"/>
          <w:sz w:val="22"/>
          <w:szCs w:val="22"/>
        </w:rPr>
        <w:t xml:space="preserve">drawing attention to </w:t>
      </w:r>
      <w:r w:rsidRPr="00725905">
        <w:rPr>
          <w:rFonts w:asciiTheme="minorHAnsi" w:hAnsiTheme="minorHAnsi" w:cstheme="minorHAnsi"/>
          <w:sz w:val="22"/>
          <w:szCs w:val="22"/>
        </w:rPr>
        <w:t>cultu</w:t>
      </w:r>
      <w:r>
        <w:rPr>
          <w:rFonts w:asciiTheme="minorHAnsi" w:hAnsiTheme="minorHAnsi" w:cstheme="minorHAnsi"/>
          <w:sz w:val="22"/>
          <w:szCs w:val="22"/>
        </w:rPr>
        <w:t>ral differences between nations</w:t>
      </w:r>
      <w:r w:rsidR="009E2B48">
        <w:rPr>
          <w:rFonts w:asciiTheme="minorHAnsi" w:hAnsiTheme="minorHAnsi" w:cstheme="minorHAnsi"/>
          <w:sz w:val="22"/>
          <w:szCs w:val="22"/>
        </w:rPr>
        <w:t xml:space="preserve">, </w:t>
      </w:r>
      <w:r w:rsidR="0037559E">
        <w:rPr>
          <w:rFonts w:asciiTheme="minorHAnsi" w:hAnsiTheme="minorHAnsi" w:cstheme="minorHAnsi"/>
          <w:sz w:val="22"/>
          <w:szCs w:val="22"/>
        </w:rPr>
        <w:t xml:space="preserve">a failure to engage with issues of teacher quality or </w:t>
      </w:r>
      <w:r w:rsidR="009E2B48">
        <w:rPr>
          <w:rFonts w:asciiTheme="minorHAnsi" w:hAnsiTheme="minorHAnsi" w:cstheme="minorHAnsi"/>
          <w:sz w:val="22"/>
          <w:szCs w:val="22"/>
        </w:rPr>
        <w:t>the range of student outcomes that might be valued</w:t>
      </w:r>
      <w:r w:rsidR="001233D8">
        <w:rPr>
          <w:rFonts w:asciiTheme="minorHAnsi" w:hAnsiTheme="minorHAnsi" w:cstheme="minorHAnsi"/>
          <w:sz w:val="22"/>
          <w:szCs w:val="22"/>
        </w:rPr>
        <w:t xml:space="preserve"> (personal, social and academic)</w:t>
      </w:r>
      <w:r w:rsidR="00653387">
        <w:rPr>
          <w:rFonts w:asciiTheme="minorHAnsi" w:hAnsiTheme="minorHAnsi" w:cstheme="minorHAnsi"/>
          <w:sz w:val="22"/>
          <w:szCs w:val="22"/>
        </w:rPr>
        <w:t>,</w:t>
      </w:r>
      <w:r w:rsidR="007827BE">
        <w:rPr>
          <w:rFonts w:asciiTheme="minorHAnsi" w:hAnsiTheme="minorHAnsi" w:cstheme="minorHAnsi"/>
          <w:sz w:val="22"/>
          <w:szCs w:val="22"/>
        </w:rPr>
        <w:t xml:space="preserve"> and the wider goals of education</w:t>
      </w:r>
      <w:r>
        <w:rPr>
          <w:rFonts w:asciiTheme="minorHAnsi" w:hAnsiTheme="minorHAnsi" w:cstheme="minorHAnsi"/>
          <w:sz w:val="22"/>
          <w:szCs w:val="22"/>
        </w:rPr>
        <w:t>.</w:t>
      </w:r>
      <w:r w:rsidR="0037559E">
        <w:rPr>
          <w:rFonts w:asciiTheme="minorHAnsi" w:hAnsiTheme="minorHAnsi" w:cstheme="minorHAnsi"/>
          <w:sz w:val="22"/>
          <w:szCs w:val="22"/>
        </w:rPr>
        <w:t xml:space="preserve"> Baumert et al. (2002:8) argue that the OECD’s Programme for International Student Assessment (PISA) offers little support for teacher policy as, ‘No account is taken of teachers’ professional background, declarative knowledge, belief systems or motivation, or indeed of their procedural knowledge and professional action’.</w:t>
      </w:r>
    </w:p>
    <w:p w:rsidR="00BC596F" w:rsidRPr="0036780F" w:rsidRDefault="00BC596F" w:rsidP="002E5113">
      <w:pPr>
        <w:pStyle w:val="Quote"/>
        <w:spacing w:line="240" w:lineRule="auto"/>
      </w:pPr>
      <w:r w:rsidRPr="0036780F">
        <w:t>This approach allows the sorting of teachers and students into segments from highest to lowest performing, but it does not tell us anything about what effective teachers do, know or believe, nor does it tell us anything about how high-performing pupils learn or what resources they b</w:t>
      </w:r>
      <w:r w:rsidR="001C26B6" w:rsidRPr="0036780F">
        <w:t>ring to school. Further</w:t>
      </w:r>
      <w:r w:rsidRPr="0036780F">
        <w:t>, other school outcomes – such as students’ social and emotional development or their preparedness for civic participation in a d</w:t>
      </w:r>
      <w:r w:rsidR="00653387">
        <w:t>emocratic society – are ignored</w:t>
      </w:r>
      <w:r w:rsidRPr="0036780F">
        <w:t xml:space="preserve"> </w:t>
      </w:r>
      <w:r w:rsidRPr="00843719">
        <w:rPr>
          <w:i w:val="0"/>
        </w:rPr>
        <w:t>(Cochran-Smith, 2009:11)</w:t>
      </w:r>
    </w:p>
    <w:p w:rsidR="00FE209C" w:rsidRPr="00FE209C" w:rsidRDefault="001C26B6" w:rsidP="00E616D2">
      <w:pPr>
        <w:autoSpaceDE w:val="0"/>
        <w:autoSpaceDN w:val="0"/>
        <w:adjustRightInd w:val="0"/>
        <w:jc w:val="both"/>
        <w:rPr>
          <w:rFonts w:asciiTheme="minorHAnsi" w:eastAsiaTheme="minorEastAsia" w:hAnsiTheme="minorHAnsi" w:cs="BemboMTPro-Regular"/>
          <w:color w:val="auto"/>
          <w:sz w:val="22"/>
          <w:szCs w:val="22"/>
          <w:lang w:val="en-GB"/>
        </w:rPr>
      </w:pPr>
      <w:r w:rsidRPr="00725905">
        <w:rPr>
          <w:rFonts w:asciiTheme="minorHAnsi" w:hAnsiTheme="minorHAnsi" w:cstheme="minorHAnsi"/>
          <w:sz w:val="22"/>
          <w:szCs w:val="22"/>
        </w:rPr>
        <w:t>Any interpretation of findings produced in other national jurisdictions should be treated with due care to context specificity</w:t>
      </w:r>
      <w:r>
        <w:rPr>
          <w:rFonts w:asciiTheme="minorHAnsi" w:hAnsiTheme="minorHAnsi" w:cstheme="minorHAnsi"/>
          <w:sz w:val="22"/>
          <w:szCs w:val="22"/>
        </w:rPr>
        <w:t>. T</w:t>
      </w:r>
      <w:r w:rsidRPr="00725905">
        <w:rPr>
          <w:rFonts w:asciiTheme="minorHAnsi" w:hAnsiTheme="minorHAnsi" w:cstheme="minorHAnsi"/>
          <w:sz w:val="22"/>
          <w:szCs w:val="22"/>
        </w:rPr>
        <w:t xml:space="preserve">here is significant cross-national variation in terms of the governance and regulation of teacher education and the scale and context of provision. </w:t>
      </w:r>
      <w:r w:rsidR="00FE209C" w:rsidRPr="001C512F">
        <w:rPr>
          <w:rFonts w:asciiTheme="minorHAnsi" w:eastAsiaTheme="minorEastAsia" w:hAnsiTheme="minorHAnsi" w:cs="BemboMTPro-Regular"/>
          <w:color w:val="auto"/>
          <w:sz w:val="22"/>
          <w:szCs w:val="22"/>
          <w:lang w:val="en-GB"/>
        </w:rPr>
        <w:t>Across contexts, government, universities, and the teaching profession itself can play different roles and have varying</w:t>
      </w:r>
      <w:r w:rsidR="00F83E63">
        <w:rPr>
          <w:rFonts w:asciiTheme="minorHAnsi" w:eastAsiaTheme="minorEastAsia" w:hAnsiTheme="minorHAnsi" w:cs="BemboMTPro-Regular"/>
          <w:color w:val="auto"/>
          <w:sz w:val="22"/>
          <w:szCs w:val="22"/>
          <w:lang w:val="en-GB"/>
        </w:rPr>
        <w:t xml:space="preserve"> levels of authority over ITE. </w:t>
      </w:r>
      <w:r w:rsidR="00FE209C" w:rsidRPr="001C512F">
        <w:rPr>
          <w:rFonts w:asciiTheme="minorHAnsi" w:eastAsiaTheme="minorEastAsia" w:hAnsiTheme="minorHAnsi" w:cs="BemboMTPro-Regular"/>
          <w:color w:val="auto"/>
          <w:sz w:val="22"/>
          <w:szCs w:val="22"/>
          <w:lang w:val="en-GB"/>
        </w:rPr>
        <w:t xml:space="preserve">There are at least three different dimensions of ITE governance: </w:t>
      </w:r>
      <w:r w:rsidR="00FE209C" w:rsidRPr="001C512F">
        <w:rPr>
          <w:rFonts w:asciiTheme="minorHAnsi" w:eastAsiaTheme="minorEastAsia" w:hAnsiTheme="minorHAnsi" w:cs="BemboMTPro-Regular"/>
          <w:i/>
          <w:color w:val="auto"/>
          <w:sz w:val="22"/>
          <w:szCs w:val="22"/>
          <w:lang w:val="en-GB"/>
        </w:rPr>
        <w:t>funding</w:t>
      </w:r>
      <w:r w:rsidR="00FE209C" w:rsidRPr="001C512F">
        <w:rPr>
          <w:rFonts w:asciiTheme="minorHAnsi" w:eastAsiaTheme="minorEastAsia" w:hAnsiTheme="minorHAnsi" w:cs="BemboMTPro-Regular"/>
          <w:color w:val="auto"/>
          <w:sz w:val="22"/>
          <w:szCs w:val="22"/>
          <w:lang w:val="en-GB"/>
        </w:rPr>
        <w:t xml:space="preserve"> (i.e., amount, sources, and the basis and process of allocation), </w:t>
      </w:r>
      <w:r w:rsidR="00FE209C" w:rsidRPr="001C512F">
        <w:rPr>
          <w:rFonts w:asciiTheme="minorHAnsi" w:eastAsiaTheme="minorEastAsia" w:hAnsiTheme="minorHAnsi" w:cs="BemboMTPro-Regular"/>
          <w:i/>
          <w:color w:val="auto"/>
          <w:sz w:val="22"/>
          <w:szCs w:val="22"/>
          <w:lang w:val="en-GB"/>
        </w:rPr>
        <w:t>regulations</w:t>
      </w:r>
      <w:r w:rsidR="00FE209C" w:rsidRPr="001C512F">
        <w:rPr>
          <w:rFonts w:asciiTheme="minorHAnsi" w:eastAsiaTheme="minorEastAsia" w:hAnsiTheme="minorHAnsi" w:cs="BemboMTPro-Regular"/>
          <w:color w:val="auto"/>
          <w:sz w:val="22"/>
          <w:szCs w:val="22"/>
          <w:lang w:val="en-GB"/>
        </w:rPr>
        <w:t xml:space="preserve"> (i.e., admissions criteria, certification, and accountability measures and processes), and </w:t>
      </w:r>
      <w:r w:rsidR="00FE209C" w:rsidRPr="001C512F">
        <w:rPr>
          <w:rFonts w:asciiTheme="minorHAnsi" w:eastAsiaTheme="minorEastAsia" w:hAnsiTheme="minorHAnsi" w:cs="BemboMTPro-Regular"/>
          <w:i/>
          <w:color w:val="auto"/>
          <w:sz w:val="22"/>
          <w:szCs w:val="22"/>
          <w:lang w:val="en-GB"/>
        </w:rPr>
        <w:t>delivery of ITE</w:t>
      </w:r>
      <w:r w:rsidR="001C512F">
        <w:rPr>
          <w:rFonts w:asciiTheme="minorHAnsi" w:eastAsiaTheme="minorEastAsia" w:hAnsiTheme="minorHAnsi" w:cs="BemboMTPro-Regular"/>
          <w:color w:val="auto"/>
          <w:sz w:val="22"/>
          <w:szCs w:val="22"/>
          <w:lang w:val="en-GB"/>
        </w:rPr>
        <w:t xml:space="preserve"> (i.e. </w:t>
      </w:r>
      <w:r w:rsidR="00FE209C" w:rsidRPr="001C512F">
        <w:rPr>
          <w:rFonts w:asciiTheme="minorHAnsi" w:eastAsiaTheme="minorEastAsia" w:hAnsiTheme="minorHAnsi" w:cs="BemboMTPro-Regular"/>
          <w:color w:val="auto"/>
          <w:sz w:val="22"/>
          <w:szCs w:val="22"/>
          <w:lang w:val="en-GB"/>
        </w:rPr>
        <w:t>site(s) of delivery, curriculum content and programme structure, and staffing recruitmen</w:t>
      </w:r>
      <w:r w:rsidR="001C512F">
        <w:rPr>
          <w:rFonts w:asciiTheme="minorHAnsi" w:eastAsiaTheme="minorEastAsia" w:hAnsiTheme="minorHAnsi" w:cs="BemboMTPro-Regular"/>
          <w:color w:val="auto"/>
          <w:sz w:val="22"/>
          <w:szCs w:val="22"/>
          <w:lang w:val="en-GB"/>
        </w:rPr>
        <w:t xml:space="preserve">t, qualifications, and roles). </w:t>
      </w:r>
      <w:r w:rsidR="00FE209C" w:rsidRPr="001C512F">
        <w:rPr>
          <w:rFonts w:asciiTheme="minorHAnsi" w:eastAsiaTheme="minorEastAsia" w:hAnsiTheme="minorHAnsi" w:cs="BemboMTPro-Regular"/>
          <w:color w:val="auto"/>
          <w:sz w:val="22"/>
          <w:szCs w:val="22"/>
          <w:lang w:val="en-GB"/>
        </w:rPr>
        <w:t>Based upon these dimensions, the governance of each respective ITE sector may be predominantly politically-, institutionally-, or professionally-driven (Young, Hall and Clark, 2007).  For example, when considering lessons from Finland’</w:t>
      </w:r>
      <w:r w:rsidR="00FE3D27">
        <w:rPr>
          <w:rFonts w:asciiTheme="minorHAnsi" w:eastAsiaTheme="minorEastAsia" w:hAnsiTheme="minorHAnsi" w:cs="BemboMTPro-Regular"/>
          <w:color w:val="auto"/>
          <w:sz w:val="22"/>
          <w:szCs w:val="22"/>
          <w:lang w:val="en-GB"/>
        </w:rPr>
        <w:t>s educational context, few take</w:t>
      </w:r>
      <w:r w:rsidR="00FE209C" w:rsidRPr="001C512F">
        <w:rPr>
          <w:rFonts w:asciiTheme="minorHAnsi" w:eastAsiaTheme="minorEastAsia" w:hAnsiTheme="minorHAnsi" w:cs="BemboMTPro-Regular"/>
          <w:color w:val="auto"/>
          <w:sz w:val="22"/>
          <w:szCs w:val="22"/>
          <w:lang w:val="en-GB"/>
        </w:rPr>
        <w:t xml:space="preserve"> into account the fact that its ITE sector is decentralised with the universities having full control over curriculum decisions to </w:t>
      </w:r>
      <w:r w:rsidR="00FE209C" w:rsidRPr="001C512F">
        <w:rPr>
          <w:rFonts w:asciiTheme="minorHAnsi" w:eastAsiaTheme="minorEastAsia" w:hAnsiTheme="minorHAnsi" w:cs="BemboMTPro-Regular"/>
          <w:color w:val="auto"/>
          <w:sz w:val="22"/>
          <w:szCs w:val="22"/>
          <w:lang w:val="en-GB"/>
        </w:rPr>
        <w:lastRenderedPageBreak/>
        <w:t xml:space="preserve">address local and institutional needs (Ceana and Margiotta, 2010).  As a result of the contextual diversity in which ITE systems operate, there is no one ’proven’ way to measure quality in ITE.  The idea of ‘quality’ – and how to measure it – are context-driven concepts shaped by competing interests and the governance structure of ITE in a particular locality.  Consequently, any evaluation framework for ITE needs to be underpinned by a clear and shared articulation of ITE’s purpose and role in a given context.  </w:t>
      </w:r>
    </w:p>
    <w:p w:rsidR="00C61A5C" w:rsidRDefault="00C61A5C" w:rsidP="001C26B6">
      <w:pPr>
        <w:autoSpaceDE w:val="0"/>
        <w:autoSpaceDN w:val="0"/>
        <w:adjustRightInd w:val="0"/>
        <w:jc w:val="both"/>
        <w:rPr>
          <w:rFonts w:asciiTheme="minorHAnsi" w:eastAsiaTheme="minorEastAsia" w:hAnsiTheme="minorHAnsi" w:cs="BemboMTPro-Regular"/>
          <w:color w:val="auto"/>
          <w:sz w:val="22"/>
          <w:szCs w:val="22"/>
          <w:lang w:val="en-GB"/>
        </w:rPr>
      </w:pPr>
    </w:p>
    <w:p w:rsidR="00C91414" w:rsidRPr="00685929" w:rsidRDefault="00C61A5C" w:rsidP="00C61A5C">
      <w:pPr>
        <w:autoSpaceDE w:val="0"/>
        <w:autoSpaceDN w:val="0"/>
        <w:adjustRightInd w:val="0"/>
        <w:jc w:val="both"/>
        <w:rPr>
          <w:rFonts w:asciiTheme="minorHAnsi" w:hAnsiTheme="minorHAnsi" w:cstheme="minorHAnsi"/>
          <w:sz w:val="22"/>
          <w:szCs w:val="22"/>
        </w:rPr>
      </w:pPr>
      <w:r w:rsidRPr="00685929">
        <w:rPr>
          <w:rFonts w:asciiTheme="minorHAnsi" w:hAnsiTheme="minorHAnsi" w:cstheme="minorHAnsi"/>
          <w:sz w:val="22"/>
          <w:szCs w:val="22"/>
        </w:rPr>
        <w:t xml:space="preserve">Measuring the impact of teacher education programmes </w:t>
      </w:r>
      <w:r w:rsidR="00810A06" w:rsidRPr="00685929">
        <w:rPr>
          <w:rFonts w:asciiTheme="minorHAnsi" w:hAnsiTheme="minorHAnsi" w:cstheme="minorHAnsi"/>
          <w:sz w:val="22"/>
          <w:szCs w:val="22"/>
        </w:rPr>
        <w:t xml:space="preserve">on teacher and then student learning </w:t>
      </w:r>
      <w:r w:rsidRPr="00685929">
        <w:rPr>
          <w:rFonts w:asciiTheme="minorHAnsi" w:hAnsiTheme="minorHAnsi" w:cstheme="minorHAnsi"/>
          <w:sz w:val="22"/>
          <w:szCs w:val="22"/>
        </w:rPr>
        <w:t xml:space="preserve">is methodologically </w:t>
      </w:r>
      <w:r w:rsidRPr="00685929">
        <w:rPr>
          <w:rFonts w:asciiTheme="minorHAnsi" w:hAnsiTheme="minorHAnsi" w:cstheme="minorHAnsi"/>
          <w:color w:val="auto"/>
          <w:sz w:val="22"/>
          <w:szCs w:val="22"/>
        </w:rPr>
        <w:t xml:space="preserve">challenging. Attributing the learning gains of </w:t>
      </w:r>
      <w:r w:rsidR="00810A06" w:rsidRPr="00685929">
        <w:rPr>
          <w:rFonts w:asciiTheme="minorHAnsi" w:hAnsiTheme="minorHAnsi" w:cstheme="minorHAnsi"/>
          <w:color w:val="auto"/>
          <w:sz w:val="22"/>
          <w:szCs w:val="22"/>
        </w:rPr>
        <w:t xml:space="preserve">school </w:t>
      </w:r>
      <w:r w:rsidRPr="00685929">
        <w:rPr>
          <w:rFonts w:asciiTheme="minorHAnsi" w:hAnsiTheme="minorHAnsi" w:cstheme="minorHAnsi"/>
          <w:color w:val="auto"/>
          <w:sz w:val="22"/>
          <w:szCs w:val="22"/>
        </w:rPr>
        <w:t xml:space="preserve">students to the type of professional preparation programme attended by their teachers is technically complex. </w:t>
      </w:r>
      <w:r w:rsidR="00685929">
        <w:rPr>
          <w:rFonts w:asciiTheme="minorHAnsi" w:hAnsiTheme="minorHAnsi" w:cstheme="minorHAnsi"/>
          <w:sz w:val="22"/>
          <w:szCs w:val="22"/>
        </w:rPr>
        <w:t>Numerous studies have pointed to an over-r</w:t>
      </w:r>
      <w:r w:rsidR="00685929" w:rsidRPr="0063239C">
        <w:rPr>
          <w:rFonts w:asciiTheme="minorHAnsi" w:hAnsiTheme="minorHAnsi" w:cstheme="minorHAnsi"/>
          <w:sz w:val="22"/>
          <w:szCs w:val="22"/>
        </w:rPr>
        <w:t xml:space="preserve">eliance on crude indicators and </w:t>
      </w:r>
      <w:r w:rsidR="00685929">
        <w:rPr>
          <w:rFonts w:asciiTheme="minorHAnsi" w:hAnsiTheme="minorHAnsi" w:cstheme="minorHAnsi"/>
          <w:sz w:val="22"/>
          <w:szCs w:val="22"/>
        </w:rPr>
        <w:t xml:space="preserve">the production of </w:t>
      </w:r>
      <w:r w:rsidR="005F258D">
        <w:rPr>
          <w:rFonts w:asciiTheme="minorHAnsi" w:hAnsiTheme="minorHAnsi" w:cstheme="minorHAnsi"/>
          <w:sz w:val="22"/>
          <w:szCs w:val="22"/>
        </w:rPr>
        <w:t>inconsistent</w:t>
      </w:r>
      <w:r w:rsidR="00685929" w:rsidRPr="0063239C">
        <w:rPr>
          <w:rFonts w:asciiTheme="minorHAnsi" w:hAnsiTheme="minorHAnsi" w:cstheme="minorHAnsi"/>
          <w:sz w:val="22"/>
          <w:szCs w:val="22"/>
        </w:rPr>
        <w:t xml:space="preserve"> findings (Boyd, 2006; Chingos and Peterson, 2011; </w:t>
      </w:r>
      <w:r w:rsidR="00685929" w:rsidRPr="0063239C">
        <w:rPr>
          <w:rFonts w:asciiTheme="minorHAnsi" w:eastAsiaTheme="minorEastAsia" w:hAnsiTheme="minorHAnsi" w:cs="EKJJO A+ Gulliver"/>
          <w:sz w:val="22"/>
          <w:szCs w:val="22"/>
          <w:lang w:val="en-GB"/>
        </w:rPr>
        <w:t>Goldhaber et al., 2013</w:t>
      </w:r>
      <w:r w:rsidR="00685929">
        <w:rPr>
          <w:rFonts w:asciiTheme="minorHAnsi" w:eastAsiaTheme="minorEastAsia" w:hAnsiTheme="minorHAnsi" w:cs="EKJJO A+ Gulliver"/>
          <w:sz w:val="22"/>
          <w:szCs w:val="22"/>
          <w:lang w:val="en-GB"/>
        </w:rPr>
        <w:t xml:space="preserve">; </w:t>
      </w:r>
      <w:r w:rsidR="00685929" w:rsidRPr="0063239C">
        <w:rPr>
          <w:rFonts w:asciiTheme="minorHAnsi" w:hAnsiTheme="minorHAnsi" w:cstheme="minorHAnsi"/>
          <w:sz w:val="22"/>
          <w:szCs w:val="22"/>
        </w:rPr>
        <w:t xml:space="preserve">Koedel </w:t>
      </w:r>
      <w:r w:rsidR="00FE209C">
        <w:rPr>
          <w:rFonts w:asciiTheme="minorHAnsi" w:hAnsiTheme="minorHAnsi" w:cstheme="minorHAnsi"/>
          <w:sz w:val="22"/>
          <w:szCs w:val="22"/>
        </w:rPr>
        <w:t xml:space="preserve">et al., </w:t>
      </w:r>
      <w:r w:rsidR="00685929" w:rsidRPr="0063239C">
        <w:rPr>
          <w:rFonts w:asciiTheme="minorHAnsi" w:hAnsiTheme="minorHAnsi" w:cstheme="minorHAnsi"/>
          <w:sz w:val="22"/>
          <w:szCs w:val="22"/>
        </w:rPr>
        <w:t>2015)</w:t>
      </w:r>
      <w:r w:rsidR="00685929">
        <w:rPr>
          <w:rFonts w:asciiTheme="minorHAnsi" w:hAnsiTheme="minorHAnsi" w:cstheme="minorHAnsi"/>
          <w:sz w:val="22"/>
          <w:szCs w:val="22"/>
        </w:rPr>
        <w:t xml:space="preserve">. </w:t>
      </w:r>
      <w:r w:rsidR="005F258D">
        <w:rPr>
          <w:rFonts w:asciiTheme="minorHAnsi" w:hAnsiTheme="minorHAnsi" w:cstheme="minorHAnsi"/>
          <w:color w:val="auto"/>
          <w:sz w:val="22"/>
          <w:szCs w:val="22"/>
        </w:rPr>
        <w:t>Stanford University’s</w:t>
      </w:r>
      <w:r w:rsidR="00685929" w:rsidRPr="00685929">
        <w:rPr>
          <w:rFonts w:asciiTheme="minorHAnsi" w:hAnsiTheme="minorHAnsi" w:cstheme="minorHAnsi"/>
          <w:color w:val="auto"/>
          <w:sz w:val="22"/>
          <w:szCs w:val="22"/>
        </w:rPr>
        <w:t xml:space="preserve"> </w:t>
      </w:r>
      <w:r w:rsidR="00685929" w:rsidRPr="00685929">
        <w:rPr>
          <w:rFonts w:asciiTheme="minorHAnsi" w:hAnsiTheme="minorHAnsi" w:cstheme="minorHAnsi"/>
          <w:i/>
          <w:color w:val="auto"/>
          <w:sz w:val="22"/>
          <w:szCs w:val="22"/>
        </w:rPr>
        <w:t>Teacher Pat</w:t>
      </w:r>
      <w:r w:rsidR="00E83D70">
        <w:rPr>
          <w:rFonts w:asciiTheme="minorHAnsi" w:hAnsiTheme="minorHAnsi" w:cstheme="minorHAnsi"/>
          <w:i/>
          <w:color w:val="auto"/>
          <w:sz w:val="22"/>
          <w:szCs w:val="22"/>
        </w:rPr>
        <w:t xml:space="preserve">hways Project </w:t>
      </w:r>
      <w:r w:rsidR="00E83D70">
        <w:rPr>
          <w:rFonts w:asciiTheme="minorHAnsi" w:hAnsiTheme="minorHAnsi" w:cstheme="minorHAnsi"/>
          <w:color w:val="auto"/>
          <w:sz w:val="22"/>
          <w:szCs w:val="22"/>
        </w:rPr>
        <w:t>(2003-2007),</w:t>
      </w:r>
      <w:r w:rsidR="007E5CFE">
        <w:rPr>
          <w:rFonts w:asciiTheme="minorHAnsi" w:hAnsiTheme="minorHAnsi" w:cstheme="minorHAnsi"/>
          <w:color w:val="auto"/>
          <w:sz w:val="22"/>
          <w:szCs w:val="22"/>
        </w:rPr>
        <w:t xml:space="preserve"> </w:t>
      </w:r>
      <w:r w:rsidR="00E83D70">
        <w:rPr>
          <w:rFonts w:asciiTheme="minorHAnsi" w:hAnsiTheme="minorHAnsi" w:cstheme="minorHAnsi"/>
          <w:color w:val="auto"/>
          <w:sz w:val="22"/>
          <w:szCs w:val="22"/>
        </w:rPr>
        <w:t>which  investigated</w:t>
      </w:r>
      <w:r w:rsidR="00685929" w:rsidRPr="00685929">
        <w:rPr>
          <w:rFonts w:asciiTheme="minorHAnsi" w:hAnsiTheme="minorHAnsi" w:cstheme="minorHAnsi"/>
          <w:color w:val="auto"/>
          <w:sz w:val="22"/>
          <w:szCs w:val="22"/>
        </w:rPr>
        <w:t xml:space="preserve"> the impact of teacher preparation on student outcomes in the </w:t>
      </w:r>
      <w:r w:rsidR="00685929" w:rsidRPr="00685929">
        <w:rPr>
          <w:rFonts w:asciiTheme="minorHAnsi" w:hAnsiTheme="minorHAnsi" w:cs="Arial"/>
          <w:color w:val="auto"/>
          <w:sz w:val="22"/>
          <w:szCs w:val="22"/>
          <w:lang w:val="en"/>
        </w:rPr>
        <w:t xml:space="preserve">New York City Public School System, highlighted </w:t>
      </w:r>
      <w:r w:rsidR="00E83D70">
        <w:rPr>
          <w:rFonts w:asciiTheme="minorHAnsi" w:hAnsiTheme="minorHAnsi" w:cs="Arial"/>
          <w:color w:val="auto"/>
          <w:sz w:val="22"/>
          <w:szCs w:val="22"/>
          <w:lang w:val="en"/>
        </w:rPr>
        <w:t xml:space="preserve">the </w:t>
      </w:r>
      <w:r w:rsidR="00770DA9">
        <w:rPr>
          <w:rFonts w:asciiTheme="minorHAnsi" w:hAnsiTheme="minorHAnsi" w:cs="Arial"/>
          <w:color w:val="auto"/>
          <w:sz w:val="22"/>
          <w:szCs w:val="22"/>
          <w:lang w:val="en"/>
        </w:rPr>
        <w:t xml:space="preserve">broad </w:t>
      </w:r>
      <w:r w:rsidR="00E83D70">
        <w:rPr>
          <w:rFonts w:asciiTheme="minorHAnsi" w:hAnsiTheme="minorHAnsi" w:cs="Arial"/>
          <w:color w:val="auto"/>
          <w:sz w:val="22"/>
          <w:szCs w:val="22"/>
          <w:lang w:val="en"/>
        </w:rPr>
        <w:t xml:space="preserve">range of intersecting </w:t>
      </w:r>
      <w:r w:rsidR="00685929" w:rsidRPr="00685929">
        <w:rPr>
          <w:rFonts w:asciiTheme="minorHAnsi" w:hAnsiTheme="minorHAnsi" w:cs="Arial"/>
          <w:color w:val="auto"/>
          <w:sz w:val="22"/>
          <w:szCs w:val="22"/>
          <w:lang w:val="en"/>
        </w:rPr>
        <w:t xml:space="preserve">influences on </w:t>
      </w:r>
      <w:r w:rsidR="00685929">
        <w:rPr>
          <w:rFonts w:asciiTheme="minorHAnsi" w:hAnsiTheme="minorHAnsi" w:cs="Arial"/>
          <w:color w:val="auto"/>
          <w:sz w:val="22"/>
          <w:szCs w:val="22"/>
          <w:lang w:val="en"/>
        </w:rPr>
        <w:t xml:space="preserve">teacher quality and student achievement </w:t>
      </w:r>
      <w:r w:rsidR="00685929" w:rsidRPr="00685929">
        <w:rPr>
          <w:rFonts w:asciiTheme="minorHAnsi" w:hAnsiTheme="minorHAnsi" w:cs="Arial"/>
          <w:color w:val="auto"/>
          <w:sz w:val="22"/>
          <w:szCs w:val="22"/>
          <w:lang w:val="en"/>
        </w:rPr>
        <w:t>(figure 3).</w:t>
      </w:r>
    </w:p>
    <w:p w:rsidR="00C91414" w:rsidRDefault="00C91414" w:rsidP="00C61A5C">
      <w:pPr>
        <w:autoSpaceDE w:val="0"/>
        <w:autoSpaceDN w:val="0"/>
        <w:adjustRightInd w:val="0"/>
        <w:jc w:val="both"/>
        <w:rPr>
          <w:rFonts w:asciiTheme="minorHAnsi" w:hAnsiTheme="minorHAnsi" w:cstheme="minorHAnsi"/>
          <w:sz w:val="22"/>
          <w:szCs w:val="22"/>
        </w:rPr>
      </w:pPr>
    </w:p>
    <w:p w:rsidR="00C91414" w:rsidRDefault="00C91414" w:rsidP="00C91414">
      <w:pPr>
        <w:pStyle w:val="Caption"/>
        <w:rPr>
          <w:rFonts w:cs="Arial"/>
          <w:b/>
          <w:bCs/>
          <w:color w:val="333333"/>
          <w:sz w:val="22"/>
          <w:szCs w:val="22"/>
          <w:lang w:val="en"/>
        </w:rPr>
      </w:pPr>
      <w:r>
        <w:t xml:space="preserve">Figure </w:t>
      </w:r>
      <w:r w:rsidR="0012122F">
        <w:t>2</w:t>
      </w:r>
      <w:r>
        <w:t xml:space="preserve"> </w:t>
      </w:r>
      <w:r w:rsidRPr="00C91414">
        <w:rPr>
          <w:rFonts w:cs="Arial"/>
          <w:b/>
          <w:bCs/>
          <w:color w:val="333333"/>
          <w:sz w:val="22"/>
          <w:szCs w:val="22"/>
          <w:lang w:val="en"/>
        </w:rPr>
        <w:t>The Pathways Model - Teacher Preparation Paths and Outcomes for Teachers and Students</w:t>
      </w:r>
    </w:p>
    <w:p w:rsidR="00C91414" w:rsidRDefault="00C91414" w:rsidP="00C61A5C">
      <w:pPr>
        <w:autoSpaceDE w:val="0"/>
        <w:autoSpaceDN w:val="0"/>
        <w:adjustRightInd w:val="0"/>
        <w:jc w:val="both"/>
        <w:rPr>
          <w:rFonts w:asciiTheme="minorHAnsi" w:hAnsiTheme="minorHAnsi" w:cs="Arial"/>
          <w:b/>
          <w:bCs/>
          <w:color w:val="333333"/>
          <w:sz w:val="22"/>
          <w:szCs w:val="22"/>
          <w:lang w:val="en"/>
        </w:rPr>
      </w:pPr>
    </w:p>
    <w:p w:rsidR="00C91414" w:rsidRPr="00C91414" w:rsidRDefault="00C91414" w:rsidP="00C91414">
      <w:pPr>
        <w:autoSpaceDE w:val="0"/>
        <w:autoSpaceDN w:val="0"/>
        <w:adjustRightInd w:val="0"/>
        <w:jc w:val="center"/>
        <w:rPr>
          <w:rFonts w:asciiTheme="minorHAnsi" w:hAnsiTheme="minorHAnsi" w:cstheme="minorHAnsi"/>
          <w:sz w:val="22"/>
          <w:szCs w:val="22"/>
        </w:rPr>
      </w:pPr>
      <w:r>
        <w:rPr>
          <w:rFonts w:cs="Arial"/>
          <w:noProof/>
          <w:color w:val="333333"/>
          <w:lang w:val="en-GB" w:eastAsia="en-GB"/>
        </w:rPr>
        <w:drawing>
          <wp:inline distT="0" distB="0" distL="0" distR="0" wp14:anchorId="285EF5DA" wp14:editId="5E0A8582">
            <wp:extent cx="5731510" cy="3900656"/>
            <wp:effectExtent l="0" t="0" r="2540" b="5080"/>
            <wp:docPr id="1" name="Picture 1" descr="The Pathways Model - Teacher Preparation Paths and Outcomes for Teachers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thways Model - Teacher Preparation Paths and Outcomes for Teachers and Stud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00656"/>
                    </a:xfrm>
                    <a:prstGeom prst="rect">
                      <a:avLst/>
                    </a:prstGeom>
                    <a:noFill/>
                    <a:ln>
                      <a:noFill/>
                    </a:ln>
                  </pic:spPr>
                </pic:pic>
              </a:graphicData>
            </a:graphic>
          </wp:inline>
        </w:drawing>
      </w:r>
    </w:p>
    <w:p w:rsidR="00C91414" w:rsidRDefault="00C91414" w:rsidP="00C61A5C">
      <w:pPr>
        <w:autoSpaceDE w:val="0"/>
        <w:autoSpaceDN w:val="0"/>
        <w:adjustRightInd w:val="0"/>
        <w:jc w:val="both"/>
        <w:rPr>
          <w:rFonts w:asciiTheme="minorHAnsi" w:hAnsiTheme="minorHAnsi" w:cstheme="minorHAnsi"/>
          <w:sz w:val="22"/>
          <w:szCs w:val="22"/>
        </w:rPr>
      </w:pPr>
    </w:p>
    <w:p w:rsidR="00C91414" w:rsidRPr="00C91414" w:rsidRDefault="00C91414" w:rsidP="00C61A5C">
      <w:pPr>
        <w:autoSpaceDE w:val="0"/>
        <w:autoSpaceDN w:val="0"/>
        <w:adjustRightInd w:val="0"/>
        <w:jc w:val="both"/>
        <w:rPr>
          <w:rFonts w:asciiTheme="minorHAnsi" w:hAnsiTheme="minorHAnsi" w:cstheme="minorHAnsi"/>
          <w:sz w:val="18"/>
          <w:szCs w:val="22"/>
        </w:rPr>
      </w:pPr>
      <w:r w:rsidRPr="00C91414">
        <w:rPr>
          <w:rFonts w:asciiTheme="minorHAnsi" w:hAnsiTheme="minorHAnsi" w:cstheme="minorHAnsi"/>
          <w:sz w:val="18"/>
          <w:szCs w:val="22"/>
        </w:rPr>
        <w:t xml:space="preserve">Source: </w:t>
      </w:r>
      <w:hyperlink r:id="rId15" w:history="1">
        <w:r w:rsidRPr="00D56E74">
          <w:rPr>
            <w:rStyle w:val="Hyperlink"/>
            <w:rFonts w:asciiTheme="minorHAnsi" w:hAnsiTheme="minorHAnsi" w:cstheme="minorHAnsi"/>
            <w:sz w:val="18"/>
            <w:szCs w:val="22"/>
          </w:rPr>
          <w:t>https://cepa.stanford.edu/tpr-new/teacher-pathway-project</w:t>
        </w:r>
      </w:hyperlink>
      <w:r>
        <w:rPr>
          <w:rFonts w:asciiTheme="minorHAnsi" w:hAnsiTheme="minorHAnsi" w:cstheme="minorHAnsi"/>
          <w:sz w:val="18"/>
          <w:szCs w:val="22"/>
        </w:rPr>
        <w:t xml:space="preserve"> (accessed 16/02/2018)</w:t>
      </w:r>
    </w:p>
    <w:p w:rsidR="00C91414" w:rsidRDefault="00C91414" w:rsidP="00C61A5C">
      <w:pPr>
        <w:autoSpaceDE w:val="0"/>
        <w:autoSpaceDN w:val="0"/>
        <w:adjustRightInd w:val="0"/>
        <w:jc w:val="both"/>
        <w:rPr>
          <w:rFonts w:asciiTheme="minorHAnsi" w:hAnsiTheme="minorHAnsi" w:cstheme="minorHAnsi"/>
          <w:sz w:val="22"/>
          <w:szCs w:val="22"/>
        </w:rPr>
      </w:pPr>
    </w:p>
    <w:p w:rsidR="00F83E63" w:rsidRDefault="00F83E63" w:rsidP="00C91414">
      <w:pPr>
        <w:autoSpaceDE w:val="0"/>
        <w:autoSpaceDN w:val="0"/>
        <w:adjustRightInd w:val="0"/>
        <w:jc w:val="both"/>
        <w:rPr>
          <w:rFonts w:asciiTheme="minorHAnsi" w:eastAsiaTheme="minorEastAsia" w:hAnsiTheme="minorHAnsi" w:cs="TimesNewRomanPS"/>
          <w:color w:val="auto"/>
          <w:sz w:val="22"/>
          <w:szCs w:val="22"/>
          <w:lang w:val="en-GB"/>
        </w:rPr>
      </w:pPr>
    </w:p>
    <w:p w:rsidR="00C61A5C" w:rsidRPr="00C91414" w:rsidRDefault="00770DA9" w:rsidP="00C91414">
      <w:pPr>
        <w:autoSpaceDE w:val="0"/>
        <w:autoSpaceDN w:val="0"/>
        <w:adjustRightInd w:val="0"/>
        <w:jc w:val="both"/>
        <w:rPr>
          <w:rFonts w:asciiTheme="minorHAnsi" w:hAnsiTheme="minorHAnsi" w:cstheme="minorHAnsi"/>
          <w:sz w:val="22"/>
          <w:szCs w:val="22"/>
        </w:rPr>
      </w:pPr>
      <w:r>
        <w:rPr>
          <w:rFonts w:asciiTheme="minorHAnsi" w:eastAsiaTheme="minorEastAsia" w:hAnsiTheme="minorHAnsi" w:cs="TimesNewRomanPS"/>
          <w:color w:val="auto"/>
          <w:sz w:val="22"/>
          <w:szCs w:val="22"/>
          <w:lang w:val="en-GB"/>
        </w:rPr>
        <w:t>Louden (2008:360</w:t>
      </w:r>
      <w:r w:rsidR="00C61A5C" w:rsidRPr="00081EB7">
        <w:rPr>
          <w:rFonts w:asciiTheme="minorHAnsi" w:eastAsiaTheme="minorEastAsia" w:hAnsiTheme="minorHAnsi" w:cs="TimesNewRomanPS"/>
          <w:color w:val="auto"/>
          <w:sz w:val="22"/>
          <w:szCs w:val="22"/>
          <w:lang w:val="en-GB"/>
        </w:rPr>
        <w:t>) has argued that in order to measure programme effects researchers need to disaggregate the impact of three sets of forces:</w:t>
      </w:r>
    </w:p>
    <w:p w:rsidR="00C61A5C" w:rsidRPr="00770DA9" w:rsidRDefault="00C61A5C" w:rsidP="00CC77DC">
      <w:pPr>
        <w:pStyle w:val="ListParagraph"/>
        <w:numPr>
          <w:ilvl w:val="0"/>
          <w:numId w:val="5"/>
        </w:numPr>
        <w:autoSpaceDE w:val="0"/>
        <w:autoSpaceDN w:val="0"/>
        <w:adjustRightInd w:val="0"/>
        <w:rPr>
          <w:rFonts w:cs="TimesNewRomanPS"/>
          <w:i/>
          <w:lang w:val="en-GB"/>
        </w:rPr>
      </w:pPr>
      <w:r w:rsidRPr="00770DA9">
        <w:rPr>
          <w:rFonts w:cs="TimesNewRomanPS"/>
          <w:i/>
          <w:lang w:val="en-GB"/>
        </w:rPr>
        <w:t xml:space="preserve">the characteristics of teacher education </w:t>
      </w:r>
      <w:r w:rsidRPr="00254274">
        <w:rPr>
          <w:rFonts w:cs="TimesNewRomanPS"/>
          <w:b/>
          <w:i/>
          <w:lang w:val="en-GB"/>
        </w:rPr>
        <w:t>students</w:t>
      </w:r>
      <w:r w:rsidRPr="00770DA9">
        <w:rPr>
          <w:rFonts w:cs="TimesNewRomanPS"/>
          <w:i/>
          <w:lang w:val="en-GB"/>
        </w:rPr>
        <w:t xml:space="preserve"> on entry (such as their developed academic ability and personal dispositions);</w:t>
      </w:r>
    </w:p>
    <w:p w:rsidR="00C61A5C" w:rsidRPr="00770DA9" w:rsidRDefault="00C61A5C" w:rsidP="00CC77DC">
      <w:pPr>
        <w:pStyle w:val="ListParagraph"/>
        <w:numPr>
          <w:ilvl w:val="0"/>
          <w:numId w:val="5"/>
        </w:numPr>
        <w:autoSpaceDE w:val="0"/>
        <w:autoSpaceDN w:val="0"/>
        <w:adjustRightInd w:val="0"/>
        <w:rPr>
          <w:rFonts w:cs="TimesNewRomanPS"/>
          <w:i/>
          <w:lang w:val="en-GB"/>
        </w:rPr>
      </w:pPr>
      <w:r w:rsidRPr="00770DA9">
        <w:rPr>
          <w:rFonts w:cs="TimesNewRomanPS"/>
          <w:i/>
          <w:lang w:val="en-GB"/>
        </w:rPr>
        <w:t xml:space="preserve">the characteristics of their teacher education </w:t>
      </w:r>
      <w:r w:rsidRPr="00254274">
        <w:rPr>
          <w:rFonts w:cs="TimesNewRomanPS"/>
          <w:b/>
          <w:i/>
          <w:lang w:val="en-GB"/>
        </w:rPr>
        <w:t>programmes</w:t>
      </w:r>
      <w:r w:rsidRPr="00770DA9">
        <w:rPr>
          <w:rFonts w:cs="TimesNewRomanPS"/>
          <w:i/>
          <w:lang w:val="en-GB"/>
        </w:rPr>
        <w:t xml:space="preserve"> (both structurally and in terms of the substantive knowledge growth they promoted); and</w:t>
      </w:r>
    </w:p>
    <w:p w:rsidR="00CB2B0E" w:rsidRPr="00FE209C" w:rsidRDefault="00C61A5C" w:rsidP="00CC77DC">
      <w:pPr>
        <w:pStyle w:val="ListParagraph"/>
        <w:numPr>
          <w:ilvl w:val="0"/>
          <w:numId w:val="5"/>
        </w:numPr>
        <w:autoSpaceDE w:val="0"/>
        <w:autoSpaceDN w:val="0"/>
        <w:adjustRightInd w:val="0"/>
        <w:rPr>
          <w:rFonts w:cs="TimesNewRomanPS"/>
          <w:lang w:val="en-GB"/>
        </w:rPr>
      </w:pPr>
      <w:r w:rsidRPr="00770DA9">
        <w:rPr>
          <w:rFonts w:cs="TimesNewRomanPS"/>
          <w:i/>
          <w:lang w:val="en-GB"/>
        </w:rPr>
        <w:lastRenderedPageBreak/>
        <w:t xml:space="preserve">characteristics of the </w:t>
      </w:r>
      <w:r w:rsidRPr="00254274">
        <w:rPr>
          <w:rFonts w:cs="TimesNewRomanPS"/>
          <w:b/>
          <w:i/>
          <w:lang w:val="en-GB"/>
        </w:rPr>
        <w:t>schools</w:t>
      </w:r>
      <w:r w:rsidRPr="00770DA9">
        <w:rPr>
          <w:rFonts w:cs="TimesNewRomanPS"/>
          <w:i/>
          <w:lang w:val="en-GB"/>
        </w:rPr>
        <w:t xml:space="preserve"> in which new graduates begin teaching (such as the quality of mentoring and the complexity of the school environment and student pop</w:t>
      </w:r>
      <w:r w:rsidR="0036780F" w:rsidRPr="00770DA9">
        <w:rPr>
          <w:rFonts w:cs="TimesNewRomanPS"/>
          <w:i/>
          <w:lang w:val="en-GB"/>
        </w:rPr>
        <w:t>ulation</w:t>
      </w:r>
      <w:r w:rsidRPr="00770DA9">
        <w:rPr>
          <w:rFonts w:cs="TimesNewRomanPS"/>
          <w:i/>
          <w:lang w:val="en-GB"/>
        </w:rPr>
        <w:t xml:space="preserve">). </w:t>
      </w:r>
      <w:r w:rsidRPr="00FE209C">
        <w:rPr>
          <w:rFonts w:cs="TimesNewRomanPS"/>
          <w:lang w:val="en-GB"/>
        </w:rPr>
        <w:t xml:space="preserve">Programmes effects </w:t>
      </w:r>
      <w:r w:rsidR="00E83D70" w:rsidRPr="00FE209C">
        <w:rPr>
          <w:rFonts w:cs="TimesNewRomanPS"/>
          <w:lang w:val="en-GB"/>
        </w:rPr>
        <w:t xml:space="preserve">are mediated by school context </w:t>
      </w:r>
      <w:r w:rsidRPr="00FE209C">
        <w:rPr>
          <w:rFonts w:cs="TimesNewRomanPS"/>
          <w:lang w:val="en-GB"/>
        </w:rPr>
        <w:t>in the early years of teaching.</w:t>
      </w:r>
    </w:p>
    <w:p w:rsidR="00843719" w:rsidRPr="00880C5D" w:rsidRDefault="00CB2B0E" w:rsidP="00843719">
      <w:pPr>
        <w:autoSpaceDE w:val="0"/>
        <w:autoSpaceDN w:val="0"/>
        <w:adjustRightInd w:val="0"/>
        <w:ind w:left="360"/>
        <w:rPr>
          <w:rFonts w:asciiTheme="minorHAnsi" w:eastAsiaTheme="minorEastAsia" w:hAnsiTheme="minorHAnsi" w:cs="TimesNewRomanPS"/>
          <w:color w:val="auto"/>
          <w:sz w:val="22"/>
          <w:szCs w:val="22"/>
          <w:lang w:val="en-GB"/>
        </w:rPr>
      </w:pPr>
      <w:r w:rsidRPr="00880C5D">
        <w:rPr>
          <w:rStyle w:val="QuoteChar"/>
          <w:rFonts w:asciiTheme="minorHAnsi" w:eastAsiaTheme="minorEastAsia" w:hAnsiTheme="minorHAnsi"/>
          <w:color w:val="auto"/>
          <w:sz w:val="22"/>
          <w:szCs w:val="22"/>
        </w:rPr>
        <w:t>In an industry as large as teacher education, there is much that works well and little that has not been tried. There is no end of sound advice about what works … but the absence of convincing empirical research leaves the indu</w:t>
      </w:r>
      <w:r w:rsidR="00653387" w:rsidRPr="00880C5D">
        <w:rPr>
          <w:rStyle w:val="QuoteChar"/>
          <w:rFonts w:asciiTheme="minorHAnsi" w:eastAsiaTheme="minorEastAsia" w:hAnsiTheme="minorHAnsi"/>
          <w:color w:val="auto"/>
          <w:sz w:val="22"/>
          <w:szCs w:val="22"/>
        </w:rPr>
        <w:t>stry uncertain about its impact</w:t>
      </w:r>
      <w:r w:rsidRPr="00880C5D">
        <w:rPr>
          <w:rStyle w:val="QuoteChar"/>
          <w:rFonts w:asciiTheme="minorHAnsi" w:eastAsiaTheme="minorEastAsia" w:hAnsiTheme="minorHAnsi"/>
          <w:color w:val="auto"/>
          <w:sz w:val="22"/>
          <w:szCs w:val="22"/>
        </w:rPr>
        <w:t>.</w:t>
      </w:r>
      <w:r w:rsidRPr="00880C5D">
        <w:rPr>
          <w:rFonts w:asciiTheme="minorHAnsi" w:eastAsiaTheme="minorEastAsia" w:hAnsiTheme="minorHAnsi" w:cs="TimesNewRomanPS"/>
          <w:color w:val="auto"/>
          <w:sz w:val="22"/>
          <w:szCs w:val="22"/>
          <w:lang w:val="en-GB"/>
        </w:rPr>
        <w:t xml:space="preserve"> (Louden, 2008:366)</w:t>
      </w:r>
    </w:p>
    <w:p w:rsidR="00843719" w:rsidRDefault="00843719" w:rsidP="00C61A5C">
      <w:pPr>
        <w:rPr>
          <w:rFonts w:asciiTheme="minorHAnsi" w:eastAsiaTheme="minorEastAsia" w:hAnsiTheme="minorHAnsi" w:cs="TimesNewRomanPS"/>
          <w:color w:val="auto"/>
          <w:sz w:val="22"/>
          <w:szCs w:val="22"/>
          <w:lang w:val="en-GB"/>
        </w:rPr>
      </w:pPr>
    </w:p>
    <w:p w:rsidR="004409E0" w:rsidRPr="00E616D2" w:rsidRDefault="004409E0" w:rsidP="004409E0">
      <w:pPr>
        <w:spacing w:beforeLines="1" w:before="2" w:afterLines="1" w:after="2"/>
        <w:jc w:val="both"/>
        <w:rPr>
          <w:rFonts w:ascii="Calibri" w:eastAsiaTheme="minorEastAsia" w:hAnsi="Calibri"/>
          <w:color w:val="auto"/>
          <w:sz w:val="22"/>
          <w:szCs w:val="20"/>
          <w:lang w:val="en-GB"/>
        </w:rPr>
      </w:pPr>
      <w:r w:rsidRPr="00E616D2">
        <w:rPr>
          <w:rFonts w:ascii="Calibri" w:eastAsiaTheme="minorEastAsia" w:hAnsi="Calibri"/>
          <w:color w:val="auto"/>
          <w:sz w:val="22"/>
          <w:lang w:val="en-GB"/>
        </w:rPr>
        <w:t>Much recent attention has focused on the potential of value-added models</w:t>
      </w:r>
      <w:r w:rsidRPr="00E616D2">
        <w:rPr>
          <w:rStyle w:val="FootnoteReference"/>
          <w:rFonts w:ascii="Calibri" w:eastAsiaTheme="minorEastAsia" w:hAnsi="Calibri"/>
          <w:color w:val="auto"/>
          <w:sz w:val="22"/>
          <w:lang w:val="en-GB"/>
        </w:rPr>
        <w:footnoteReference w:id="1"/>
      </w:r>
      <w:r w:rsidRPr="00E616D2">
        <w:rPr>
          <w:rFonts w:ascii="Calibri" w:eastAsiaTheme="minorEastAsia" w:hAnsi="Calibri"/>
          <w:color w:val="auto"/>
          <w:sz w:val="22"/>
          <w:lang w:val="en-GB"/>
        </w:rPr>
        <w:t xml:space="preserve"> (VAM) to measure and compare the effects of different ITE programmes (Gansle, Noell and Burns, 2012).  </w:t>
      </w:r>
      <w:r w:rsidR="00E61DD9" w:rsidRPr="00E616D2">
        <w:rPr>
          <w:rFonts w:ascii="Calibri" w:eastAsiaTheme="minorEastAsia" w:hAnsi="Calibri" w:cs="BemboMTPro-Regular"/>
          <w:color w:val="auto"/>
          <w:sz w:val="22"/>
          <w:szCs w:val="22"/>
        </w:rPr>
        <w:t>Critics points to</w:t>
      </w:r>
      <w:r w:rsidRPr="00E616D2">
        <w:rPr>
          <w:rFonts w:ascii="Calibri" w:eastAsiaTheme="minorEastAsia" w:hAnsi="Calibri" w:cs="BemboMTPro-Regular"/>
          <w:color w:val="auto"/>
          <w:sz w:val="22"/>
          <w:szCs w:val="22"/>
        </w:rPr>
        <w:t xml:space="preserve"> the limitations, inconsistencies, and risks of such evaluation approaches (Rockoff and Speroni, 2010; Mihaly et al., 2012; Goldhaber, Liddle and Theobald, 2013; Guarino et al., 2015; Walsh and Isenberg, 2015), especially for teachers and pupils located in disadvantaged communities </w:t>
      </w:r>
      <w:r w:rsidRPr="00E616D2">
        <w:rPr>
          <w:rFonts w:ascii="Calibri" w:eastAsiaTheme="minorEastAsia" w:hAnsi="Calibri"/>
          <w:color w:val="auto"/>
          <w:sz w:val="22"/>
        </w:rPr>
        <w:t>(Mangiante, 2011)</w:t>
      </w:r>
      <w:r w:rsidR="00C012FC" w:rsidRPr="00E616D2">
        <w:rPr>
          <w:rFonts w:ascii="Calibri" w:eastAsiaTheme="minorEastAsia" w:hAnsi="Calibri" w:cs="BemboMTPro-Regular"/>
          <w:color w:val="auto"/>
          <w:sz w:val="22"/>
          <w:szCs w:val="22"/>
        </w:rPr>
        <w:t xml:space="preserve">. </w:t>
      </w:r>
      <w:r w:rsidR="00C012FC" w:rsidRPr="00E616D2">
        <w:rPr>
          <w:rFonts w:ascii="Calibri" w:eastAsiaTheme="minorEastAsia" w:hAnsi="Calibri"/>
          <w:color w:val="auto"/>
          <w:sz w:val="22"/>
          <w:lang w:val="en-GB"/>
        </w:rPr>
        <w:t>S</w:t>
      </w:r>
      <w:r w:rsidRPr="00E616D2">
        <w:rPr>
          <w:rFonts w:ascii="Calibri" w:eastAsiaTheme="minorEastAsia" w:hAnsi="Calibri"/>
          <w:color w:val="auto"/>
          <w:sz w:val="22"/>
          <w:lang w:val="en-GB"/>
        </w:rPr>
        <w:t>tudies using</w:t>
      </w:r>
      <w:r w:rsidRPr="00E616D2">
        <w:rPr>
          <w:rFonts w:ascii="Calibri" w:eastAsiaTheme="minorEastAsia" w:hAnsi="Calibri" w:cs="BemboMTPro-Regular"/>
          <w:color w:val="auto"/>
          <w:sz w:val="22"/>
          <w:szCs w:val="22"/>
          <w:lang w:val="en-GB"/>
        </w:rPr>
        <w:t xml:space="preserve"> value-added measures to compare the effectiveness of graduates of</w:t>
      </w:r>
      <w:r w:rsidR="00E61DD9" w:rsidRPr="00E616D2">
        <w:rPr>
          <w:rFonts w:ascii="Calibri" w:eastAsiaTheme="minorEastAsia" w:hAnsi="Calibri" w:cs="BemboMTPro-Regular"/>
          <w:color w:val="auto"/>
          <w:sz w:val="22"/>
          <w:szCs w:val="22"/>
          <w:lang w:val="en-GB"/>
        </w:rPr>
        <w:t xml:space="preserve"> various teacher preparation</w:t>
      </w:r>
      <w:r w:rsidRPr="00E616D2">
        <w:rPr>
          <w:rFonts w:ascii="Calibri" w:eastAsiaTheme="minorEastAsia" w:hAnsi="Calibri" w:cs="BemboMTPro-Regular"/>
          <w:color w:val="auto"/>
          <w:sz w:val="22"/>
          <w:szCs w:val="22"/>
          <w:lang w:val="en-GB"/>
        </w:rPr>
        <w:t xml:space="preserve"> programmes </w:t>
      </w:r>
      <w:r w:rsidR="00E61DD9" w:rsidRPr="00E616D2">
        <w:rPr>
          <w:rFonts w:ascii="Calibri" w:eastAsiaTheme="minorEastAsia" w:hAnsi="Calibri" w:cs="BemboMTPro-Regular"/>
          <w:color w:val="auto"/>
          <w:sz w:val="22"/>
          <w:szCs w:val="22"/>
          <w:lang w:val="en-GB"/>
        </w:rPr>
        <w:t xml:space="preserve">(TPPs) </w:t>
      </w:r>
      <w:r w:rsidRPr="00E616D2">
        <w:rPr>
          <w:rFonts w:ascii="Calibri" w:eastAsiaTheme="minorEastAsia" w:hAnsi="Calibri" w:cs="BemboMTPro-Regular"/>
          <w:color w:val="auto"/>
          <w:sz w:val="22"/>
          <w:szCs w:val="22"/>
          <w:lang w:val="en-GB"/>
        </w:rPr>
        <w:t xml:space="preserve">have found much greater differences between teachers of the same programmes than between teachers from different programmes (Koedel </w:t>
      </w:r>
      <w:r w:rsidRPr="00F83E63">
        <w:rPr>
          <w:rFonts w:ascii="Calibri" w:eastAsiaTheme="minorEastAsia" w:hAnsi="Calibri" w:cs="BemboMTPro-Regular"/>
          <w:color w:val="auto"/>
          <w:sz w:val="22"/>
          <w:szCs w:val="22"/>
          <w:lang w:val="en-GB"/>
        </w:rPr>
        <w:t>et al.,</w:t>
      </w:r>
      <w:r w:rsidRPr="00E616D2">
        <w:rPr>
          <w:rFonts w:ascii="Calibri" w:eastAsiaTheme="minorEastAsia" w:hAnsi="Calibri" w:cs="BemboMTPro-Regular"/>
          <w:color w:val="auto"/>
          <w:sz w:val="22"/>
          <w:szCs w:val="22"/>
          <w:lang w:val="en-GB"/>
        </w:rPr>
        <w:t xml:space="preserve"> </w:t>
      </w:r>
      <w:r w:rsidR="00C012FC" w:rsidRPr="00E616D2">
        <w:rPr>
          <w:rFonts w:ascii="Calibri" w:eastAsiaTheme="minorEastAsia" w:hAnsi="Calibri" w:cs="BemboMTPro-Regular"/>
          <w:color w:val="auto"/>
          <w:sz w:val="22"/>
          <w:szCs w:val="22"/>
          <w:lang w:val="en-GB"/>
        </w:rPr>
        <w:t xml:space="preserve">2012, </w:t>
      </w:r>
      <w:r w:rsidRPr="00E616D2">
        <w:rPr>
          <w:rFonts w:ascii="Calibri" w:eastAsiaTheme="minorEastAsia" w:hAnsi="Calibri" w:cs="BemboMTPro-Regular"/>
          <w:color w:val="auto"/>
          <w:sz w:val="22"/>
          <w:szCs w:val="22"/>
          <w:lang w:val="en-GB"/>
        </w:rPr>
        <w:t xml:space="preserve">2015). </w:t>
      </w:r>
      <w:r w:rsidRPr="00E616D2">
        <w:rPr>
          <w:rFonts w:ascii="Calibri" w:hAnsi="Calibri" w:cstheme="minorHAnsi"/>
          <w:color w:val="auto"/>
          <w:sz w:val="22"/>
          <w:szCs w:val="22"/>
        </w:rPr>
        <w:t xml:space="preserve">Von Hippel et al. (2016:32) </w:t>
      </w:r>
      <w:r w:rsidR="00C012FC" w:rsidRPr="00E616D2">
        <w:rPr>
          <w:rFonts w:ascii="Calibri" w:hAnsi="Calibri" w:cstheme="minorHAnsi"/>
          <w:color w:val="auto"/>
          <w:sz w:val="22"/>
          <w:szCs w:val="22"/>
        </w:rPr>
        <w:t xml:space="preserve">identify a need to consider </w:t>
      </w:r>
      <w:r w:rsidRPr="00E616D2">
        <w:rPr>
          <w:rFonts w:ascii="Calibri" w:hAnsi="Calibri" w:cstheme="minorHAnsi"/>
          <w:color w:val="auto"/>
          <w:sz w:val="22"/>
          <w:szCs w:val="22"/>
        </w:rPr>
        <w:t>three further conditions when assessing ITE programmes:</w:t>
      </w:r>
    </w:p>
    <w:p w:rsidR="00C61A5C" w:rsidRPr="00C61A5C" w:rsidRDefault="00C61A5C" w:rsidP="00CC77DC">
      <w:pPr>
        <w:pStyle w:val="ListParagraph"/>
        <w:numPr>
          <w:ilvl w:val="0"/>
          <w:numId w:val="2"/>
        </w:numPr>
        <w:autoSpaceDE w:val="0"/>
        <w:autoSpaceDN w:val="0"/>
        <w:adjustRightInd w:val="0"/>
        <w:rPr>
          <w:rFonts w:cs="EKJJO A+ Gulliver"/>
          <w:lang w:val="en-GB"/>
        </w:rPr>
      </w:pPr>
      <w:r w:rsidRPr="00C61A5C">
        <w:rPr>
          <w:rFonts w:cs="EKJJO A+ Gulliver"/>
          <w:lang w:val="en-GB"/>
        </w:rPr>
        <w:t>How big are the teacher quality differences</w:t>
      </w:r>
      <w:r w:rsidRPr="00254274">
        <w:rPr>
          <w:rFonts w:cs="EKJJO A+ Gulliver"/>
          <w:i/>
          <w:lang w:val="en-GB"/>
        </w:rPr>
        <w:t xml:space="preserve"> between</w:t>
      </w:r>
      <w:r w:rsidRPr="00C61A5C">
        <w:rPr>
          <w:rFonts w:cs="EKJJO A+ Gulliver"/>
          <w:lang w:val="en-GB"/>
        </w:rPr>
        <w:t xml:space="preserve"> teach</w:t>
      </w:r>
      <w:r w:rsidR="00CB2B0E">
        <w:rPr>
          <w:rFonts w:cs="EKJJO A+ Gulliver"/>
          <w:lang w:val="en-GB"/>
        </w:rPr>
        <w:t>er preparation programmes (TPP)</w:t>
      </w:r>
      <w:r w:rsidR="00254274">
        <w:rPr>
          <w:rFonts w:cs="EKJJO A+ Gulliver"/>
          <w:lang w:val="en-GB"/>
        </w:rPr>
        <w:t>?</w:t>
      </w:r>
    </w:p>
    <w:p w:rsidR="00C61A5C" w:rsidRPr="00C61A5C" w:rsidRDefault="00C61A5C" w:rsidP="00CC77DC">
      <w:pPr>
        <w:pStyle w:val="ListParagraph"/>
        <w:numPr>
          <w:ilvl w:val="0"/>
          <w:numId w:val="2"/>
        </w:numPr>
        <w:rPr>
          <w:rFonts w:cs="EKJJO A+ Gulliver"/>
          <w:lang w:val="en-GB"/>
        </w:rPr>
      </w:pPr>
      <w:r w:rsidRPr="00C61A5C">
        <w:rPr>
          <w:rFonts w:cs="EKJJO A+ Gulliver"/>
          <w:lang w:val="en-GB"/>
        </w:rPr>
        <w:t xml:space="preserve">How reliably can those differences be estimated? </w:t>
      </w:r>
    </w:p>
    <w:p w:rsidR="00C61A5C" w:rsidRDefault="00C61A5C" w:rsidP="00653387">
      <w:pPr>
        <w:pStyle w:val="ListParagraph"/>
        <w:numPr>
          <w:ilvl w:val="0"/>
          <w:numId w:val="2"/>
        </w:numPr>
        <w:spacing w:line="240" w:lineRule="auto"/>
        <w:ind w:left="714" w:hanging="357"/>
        <w:rPr>
          <w:rFonts w:cs="EKJJO A+ Gulliver"/>
          <w:lang w:val="en-GB"/>
        </w:rPr>
      </w:pPr>
      <w:r w:rsidRPr="00843719">
        <w:rPr>
          <w:rFonts w:cs="EKJJO A+ Gulliver"/>
          <w:lang w:val="en-GB"/>
        </w:rPr>
        <w:t>How confidently can we single out individual teacher preparation programmes as different?</w:t>
      </w:r>
    </w:p>
    <w:p w:rsidR="00224E21" w:rsidRDefault="00C61A5C" w:rsidP="001248F2">
      <w:pPr>
        <w:ind w:left="360"/>
        <w:rPr>
          <w:rFonts w:asciiTheme="minorHAnsi" w:hAnsiTheme="minorHAnsi"/>
          <w:sz w:val="22"/>
          <w:szCs w:val="22"/>
        </w:rPr>
      </w:pPr>
      <w:r w:rsidRPr="00C61A5C">
        <w:rPr>
          <w:rStyle w:val="QuoteChar"/>
          <w:rFonts w:asciiTheme="minorHAnsi" w:hAnsiTheme="minorHAnsi"/>
          <w:sz w:val="22"/>
          <w:szCs w:val="22"/>
        </w:rPr>
        <w:t>Teacher quality differences between TPPs are small, and estimates of those differences consist mostly of noise, even in large TPPs … Few if any TPPs can be confidently flagged as different from average after adjustments are made for multiple tests. These results suggest that TPP accountability systems have limited potential to improve student achievement. In addition, careless use of TPP estimates can lead policy makers to make decisions about TPPs that are</w:t>
      </w:r>
      <w:r w:rsidR="00653387">
        <w:rPr>
          <w:rStyle w:val="QuoteChar"/>
          <w:rFonts w:asciiTheme="minorHAnsi" w:hAnsiTheme="minorHAnsi"/>
          <w:sz w:val="22"/>
          <w:szCs w:val="22"/>
        </w:rPr>
        <w:t xml:space="preserve"> both arbitrary and ineffective </w:t>
      </w:r>
      <w:r w:rsidRPr="00C61A5C">
        <w:rPr>
          <w:rFonts w:asciiTheme="minorHAnsi" w:hAnsiTheme="minorHAnsi"/>
          <w:sz w:val="22"/>
          <w:szCs w:val="22"/>
        </w:rPr>
        <w:t>(Von Hippel et al. 2016: 32-33)</w:t>
      </w:r>
    </w:p>
    <w:p w:rsidR="004409E0" w:rsidRDefault="004409E0" w:rsidP="004409E0">
      <w:pPr>
        <w:rPr>
          <w:rFonts w:asciiTheme="minorHAnsi" w:hAnsiTheme="minorHAnsi"/>
          <w:sz w:val="22"/>
          <w:szCs w:val="22"/>
        </w:rPr>
      </w:pPr>
    </w:p>
    <w:p w:rsidR="004409E0" w:rsidRPr="004409E0" w:rsidRDefault="00C012FC" w:rsidP="004409E0">
      <w:pPr>
        <w:pStyle w:val="NormalWeb"/>
        <w:spacing w:before="2" w:after="2"/>
        <w:jc w:val="both"/>
        <w:rPr>
          <w:rFonts w:ascii="Calibri" w:eastAsiaTheme="minorEastAsia" w:hAnsi="Calibri"/>
          <w:sz w:val="22"/>
          <w:szCs w:val="24"/>
        </w:rPr>
      </w:pPr>
      <w:r>
        <w:rPr>
          <w:rFonts w:ascii="Calibri" w:eastAsiaTheme="minorEastAsia" w:hAnsi="Calibri" w:cs="BemboMTPro-Regular"/>
          <w:sz w:val="22"/>
          <w:szCs w:val="22"/>
        </w:rPr>
        <w:t>T</w:t>
      </w:r>
      <w:r w:rsidR="004409E0" w:rsidRPr="004409E0">
        <w:rPr>
          <w:rFonts w:ascii="Calibri" w:eastAsiaTheme="minorEastAsia" w:hAnsi="Calibri" w:cs="BemboMTPro-Regular"/>
          <w:sz w:val="22"/>
          <w:szCs w:val="22"/>
        </w:rPr>
        <w:t>he use of value-added measures to assess teacher quality and the effectiveness of ITE programmes remains problematic</w:t>
      </w:r>
      <w:r>
        <w:rPr>
          <w:rFonts w:ascii="Calibri" w:eastAsiaTheme="minorEastAsia" w:hAnsi="Calibri" w:cs="BemboMTPro-Regular"/>
          <w:sz w:val="22"/>
          <w:szCs w:val="22"/>
        </w:rPr>
        <w:t>.</w:t>
      </w:r>
      <w:r w:rsidR="004409E0" w:rsidRPr="004409E0">
        <w:rPr>
          <w:rFonts w:ascii="Calibri" w:eastAsiaTheme="minorEastAsia" w:hAnsi="Calibri" w:cs="BemboMTPro-Regular"/>
          <w:sz w:val="22"/>
          <w:szCs w:val="22"/>
        </w:rPr>
        <w:t xml:space="preserve"> Despite the growing interest in these statistical</w:t>
      </w:r>
      <w:r w:rsidR="00F83E63">
        <w:rPr>
          <w:rFonts w:ascii="Calibri" w:eastAsiaTheme="minorEastAsia" w:hAnsi="Calibri" w:cs="BemboMTPro-Regular"/>
          <w:sz w:val="22"/>
          <w:szCs w:val="22"/>
        </w:rPr>
        <w:t xml:space="preserve"> measures among American policy </w:t>
      </w:r>
      <w:r w:rsidR="004409E0" w:rsidRPr="004409E0">
        <w:rPr>
          <w:rFonts w:ascii="Calibri" w:eastAsiaTheme="minorEastAsia" w:hAnsi="Calibri" w:cs="BemboMTPro-Regular"/>
          <w:sz w:val="22"/>
          <w:szCs w:val="22"/>
        </w:rPr>
        <w:t xml:space="preserve">makers, most </w:t>
      </w:r>
      <w:r w:rsidR="004409E0" w:rsidRPr="004409E0">
        <w:rPr>
          <w:rFonts w:ascii="Calibri" w:eastAsiaTheme="minorEastAsia" w:hAnsi="Calibri"/>
          <w:sz w:val="22"/>
          <w:szCs w:val="24"/>
        </w:rPr>
        <w:t xml:space="preserve">U.S. ITE programmes and their graduates are not typically assessed in this way.  </w:t>
      </w:r>
    </w:p>
    <w:p w:rsidR="001248F2" w:rsidRPr="001248F2" w:rsidRDefault="001248F2" w:rsidP="001248F2">
      <w:pPr>
        <w:ind w:left="360"/>
        <w:rPr>
          <w:rFonts w:asciiTheme="minorHAnsi" w:hAnsiTheme="minorHAnsi"/>
          <w:sz w:val="22"/>
          <w:szCs w:val="22"/>
        </w:rPr>
      </w:pPr>
    </w:p>
    <w:p w:rsidR="00224E21" w:rsidRDefault="00224E21" w:rsidP="00177355">
      <w:pPr>
        <w:spacing w:after="120"/>
        <w:rPr>
          <w:rFonts w:asciiTheme="minorHAnsi" w:hAnsiTheme="minorHAnsi" w:cstheme="minorHAnsi"/>
          <w:b/>
          <w:sz w:val="22"/>
          <w:szCs w:val="22"/>
        </w:rPr>
      </w:pPr>
      <w:r w:rsidRPr="00A16360">
        <w:rPr>
          <w:rFonts w:asciiTheme="minorHAnsi" w:hAnsiTheme="minorHAnsi" w:cstheme="minorHAnsi"/>
          <w:b/>
          <w:sz w:val="22"/>
          <w:szCs w:val="22"/>
        </w:rPr>
        <w:t>Features of effective</w:t>
      </w:r>
      <w:r>
        <w:rPr>
          <w:rFonts w:asciiTheme="minorHAnsi" w:hAnsiTheme="minorHAnsi" w:cstheme="minorHAnsi"/>
          <w:b/>
          <w:sz w:val="22"/>
          <w:szCs w:val="22"/>
        </w:rPr>
        <w:t xml:space="preserve"> systems for</w:t>
      </w:r>
      <w:r w:rsidRPr="00A16360">
        <w:rPr>
          <w:rFonts w:asciiTheme="minorHAnsi" w:hAnsiTheme="minorHAnsi" w:cstheme="minorHAnsi"/>
          <w:b/>
          <w:sz w:val="22"/>
          <w:szCs w:val="22"/>
        </w:rPr>
        <w:t xml:space="preserve"> teacher development </w:t>
      </w:r>
    </w:p>
    <w:p w:rsidR="00AC2A65" w:rsidRPr="00224E21" w:rsidRDefault="00880C5D" w:rsidP="001774E6">
      <w:pPr>
        <w:spacing w:after="120"/>
        <w:jc w:val="both"/>
        <w:rPr>
          <w:rFonts w:asciiTheme="minorHAnsi" w:hAnsiTheme="minorHAnsi" w:cstheme="minorHAnsi"/>
          <w:sz w:val="22"/>
          <w:szCs w:val="22"/>
        </w:rPr>
      </w:pPr>
      <w:r>
        <w:rPr>
          <w:rFonts w:asciiTheme="minorHAnsi" w:hAnsiTheme="minorHAnsi" w:cstheme="minorHAnsi"/>
          <w:sz w:val="22"/>
          <w:szCs w:val="22"/>
        </w:rPr>
        <w:t xml:space="preserve">While evidence of the impact of teacher education on teacher learning and student outcomes is contested, there is reasonable agreement </w:t>
      </w:r>
      <w:r w:rsidR="00C92A02" w:rsidRPr="00224E21">
        <w:rPr>
          <w:rFonts w:asciiTheme="minorHAnsi" w:hAnsiTheme="minorHAnsi" w:cstheme="minorHAnsi"/>
          <w:sz w:val="22"/>
          <w:szCs w:val="22"/>
        </w:rPr>
        <w:t xml:space="preserve">in the </w:t>
      </w:r>
      <w:r w:rsidR="00C92A02">
        <w:rPr>
          <w:rFonts w:asciiTheme="minorHAnsi" w:hAnsiTheme="minorHAnsi" w:cstheme="minorHAnsi"/>
          <w:sz w:val="22"/>
          <w:szCs w:val="22"/>
        </w:rPr>
        <w:t xml:space="preserve">international </w:t>
      </w:r>
      <w:r w:rsidR="00C92A02" w:rsidRPr="00224E21">
        <w:rPr>
          <w:rFonts w:asciiTheme="minorHAnsi" w:hAnsiTheme="minorHAnsi" w:cstheme="minorHAnsi"/>
          <w:sz w:val="22"/>
          <w:szCs w:val="22"/>
        </w:rPr>
        <w:t>literature</w:t>
      </w:r>
      <w:r w:rsidR="00C92A02">
        <w:rPr>
          <w:rFonts w:asciiTheme="minorHAnsi" w:hAnsiTheme="minorHAnsi" w:cstheme="minorHAnsi"/>
          <w:sz w:val="22"/>
          <w:szCs w:val="22"/>
        </w:rPr>
        <w:t xml:space="preserve"> </w:t>
      </w:r>
      <w:r>
        <w:rPr>
          <w:rFonts w:asciiTheme="minorHAnsi" w:hAnsiTheme="minorHAnsi" w:cstheme="minorHAnsi"/>
          <w:sz w:val="22"/>
          <w:szCs w:val="22"/>
        </w:rPr>
        <w:t>on the k</w:t>
      </w:r>
      <w:r w:rsidR="00224E21" w:rsidRPr="00224E21">
        <w:rPr>
          <w:rFonts w:asciiTheme="minorHAnsi" w:hAnsiTheme="minorHAnsi" w:cstheme="minorHAnsi"/>
          <w:sz w:val="22"/>
          <w:szCs w:val="22"/>
        </w:rPr>
        <w:t>ey f</w:t>
      </w:r>
      <w:r w:rsidR="00AC2A65" w:rsidRPr="00224E21">
        <w:rPr>
          <w:rFonts w:asciiTheme="minorHAnsi" w:hAnsiTheme="minorHAnsi" w:cstheme="minorHAnsi"/>
          <w:sz w:val="22"/>
          <w:szCs w:val="22"/>
        </w:rPr>
        <w:t xml:space="preserve">eatures </w:t>
      </w:r>
      <w:r w:rsidR="00224E21" w:rsidRPr="00224E21">
        <w:rPr>
          <w:rFonts w:asciiTheme="minorHAnsi" w:hAnsiTheme="minorHAnsi" w:cstheme="minorHAnsi"/>
          <w:sz w:val="22"/>
          <w:szCs w:val="22"/>
        </w:rPr>
        <w:t xml:space="preserve">of highly regarded </w:t>
      </w:r>
      <w:r w:rsidR="0099087D" w:rsidRPr="00224E21">
        <w:rPr>
          <w:rFonts w:asciiTheme="minorHAnsi" w:hAnsiTheme="minorHAnsi" w:cstheme="minorHAnsi"/>
          <w:sz w:val="22"/>
          <w:szCs w:val="22"/>
        </w:rPr>
        <w:t xml:space="preserve">teacher development </w:t>
      </w:r>
      <w:r w:rsidR="00C66C63" w:rsidRPr="00224E21">
        <w:rPr>
          <w:rFonts w:asciiTheme="minorHAnsi" w:hAnsiTheme="minorHAnsi" w:cstheme="minorHAnsi"/>
          <w:sz w:val="22"/>
          <w:szCs w:val="22"/>
        </w:rPr>
        <w:t>programmes</w:t>
      </w:r>
      <w:r w:rsidR="00224E21" w:rsidRPr="00224E21">
        <w:rPr>
          <w:rFonts w:asciiTheme="minorHAnsi" w:hAnsiTheme="minorHAnsi" w:cstheme="minorHAnsi"/>
          <w:sz w:val="22"/>
          <w:szCs w:val="22"/>
        </w:rPr>
        <w:t>.</w:t>
      </w:r>
      <w:r w:rsidR="00224E21">
        <w:rPr>
          <w:rFonts w:asciiTheme="minorHAnsi" w:hAnsiTheme="minorHAnsi" w:cstheme="minorHAnsi"/>
          <w:sz w:val="22"/>
          <w:szCs w:val="22"/>
        </w:rPr>
        <w:t xml:space="preserve"> Darling Hammond (2006:276-77) identifies common elements of ‘exemplary’ programmes</w:t>
      </w:r>
      <w:r w:rsidR="006769A8">
        <w:rPr>
          <w:rFonts w:asciiTheme="minorHAnsi" w:hAnsiTheme="minorHAnsi" w:cstheme="minorHAnsi"/>
          <w:sz w:val="22"/>
          <w:szCs w:val="22"/>
        </w:rPr>
        <w:t xml:space="preserve"> in the U</w:t>
      </w:r>
      <w:r>
        <w:rPr>
          <w:rFonts w:asciiTheme="minorHAnsi" w:hAnsiTheme="minorHAnsi" w:cstheme="minorHAnsi"/>
          <w:sz w:val="22"/>
          <w:szCs w:val="22"/>
        </w:rPr>
        <w:t xml:space="preserve">nited </w:t>
      </w:r>
      <w:r w:rsidR="006769A8">
        <w:rPr>
          <w:rFonts w:asciiTheme="minorHAnsi" w:hAnsiTheme="minorHAnsi" w:cstheme="minorHAnsi"/>
          <w:sz w:val="22"/>
          <w:szCs w:val="22"/>
        </w:rPr>
        <w:t>S</w:t>
      </w:r>
      <w:r>
        <w:rPr>
          <w:rFonts w:asciiTheme="minorHAnsi" w:hAnsiTheme="minorHAnsi" w:cstheme="minorHAnsi"/>
          <w:sz w:val="22"/>
          <w:szCs w:val="22"/>
        </w:rPr>
        <w:t>tates</w:t>
      </w:r>
      <w:r w:rsidR="00224E21">
        <w:rPr>
          <w:rFonts w:asciiTheme="minorHAnsi" w:hAnsiTheme="minorHAnsi" w:cstheme="minorHAnsi"/>
          <w:sz w:val="22"/>
          <w:szCs w:val="22"/>
        </w:rPr>
        <w:t>:</w:t>
      </w:r>
    </w:p>
    <w:p w:rsidR="00AC2A65" w:rsidRPr="006769A8" w:rsidRDefault="00AC2A65" w:rsidP="003C185F">
      <w:pPr>
        <w:pStyle w:val="ListParagraph"/>
        <w:numPr>
          <w:ilvl w:val="0"/>
          <w:numId w:val="7"/>
        </w:numPr>
        <w:spacing w:after="120" w:line="240" w:lineRule="auto"/>
        <w:contextualSpacing w:val="0"/>
        <w:rPr>
          <w:rFonts w:cstheme="minorHAnsi"/>
          <w:i/>
        </w:rPr>
      </w:pPr>
      <w:r w:rsidRPr="006769A8">
        <w:rPr>
          <w:rFonts w:cstheme="minorHAnsi"/>
          <w:b/>
          <w:i/>
        </w:rPr>
        <w:t>Coherence</w:t>
      </w:r>
      <w:r w:rsidRPr="006769A8">
        <w:rPr>
          <w:rFonts w:cstheme="minorHAnsi"/>
          <w:i/>
        </w:rPr>
        <w:t>, a common, clear vision of good teaching grounded in an understanding of learning, permeates all coursework and cli</w:t>
      </w:r>
      <w:r w:rsidR="00C66C63" w:rsidRPr="006769A8">
        <w:rPr>
          <w:rFonts w:cstheme="minorHAnsi"/>
          <w:i/>
        </w:rPr>
        <w:t>nical experiences.</w:t>
      </w:r>
    </w:p>
    <w:p w:rsidR="00AC2A65" w:rsidRPr="006769A8" w:rsidRDefault="00AC2A65" w:rsidP="003C185F">
      <w:pPr>
        <w:pStyle w:val="ListParagraph"/>
        <w:numPr>
          <w:ilvl w:val="0"/>
          <w:numId w:val="7"/>
        </w:numPr>
        <w:spacing w:after="120" w:line="240" w:lineRule="auto"/>
        <w:contextualSpacing w:val="0"/>
        <w:rPr>
          <w:rFonts w:cstheme="minorHAnsi"/>
          <w:i/>
        </w:rPr>
      </w:pPr>
      <w:r w:rsidRPr="006769A8">
        <w:rPr>
          <w:rFonts w:cstheme="minorHAnsi"/>
          <w:b/>
          <w:i/>
        </w:rPr>
        <w:t>A strong core curriculum</w:t>
      </w:r>
      <w:r w:rsidRPr="006769A8">
        <w:rPr>
          <w:rFonts w:cstheme="minorHAnsi"/>
          <w:i/>
        </w:rPr>
        <w:t>, taught in the context of practice, grounded in knowledge of child and adolescent development, learning in social and cultural contexts, curriculum, assessm</w:t>
      </w:r>
      <w:r w:rsidR="00C66C63" w:rsidRPr="006769A8">
        <w:rPr>
          <w:rFonts w:cstheme="minorHAnsi"/>
          <w:i/>
        </w:rPr>
        <w:t>ent and subject-matter pedagogy.</w:t>
      </w:r>
      <w:r w:rsidRPr="006769A8">
        <w:rPr>
          <w:rFonts w:cstheme="minorHAnsi"/>
          <w:i/>
        </w:rPr>
        <w:t xml:space="preserve"> </w:t>
      </w:r>
    </w:p>
    <w:p w:rsidR="00AC2A65" w:rsidRPr="006769A8" w:rsidRDefault="00AC2A65" w:rsidP="003C185F">
      <w:pPr>
        <w:pStyle w:val="ListParagraph"/>
        <w:numPr>
          <w:ilvl w:val="0"/>
          <w:numId w:val="7"/>
        </w:numPr>
        <w:spacing w:after="120" w:line="240" w:lineRule="auto"/>
        <w:contextualSpacing w:val="0"/>
        <w:rPr>
          <w:rFonts w:cstheme="minorHAnsi"/>
          <w:i/>
        </w:rPr>
      </w:pPr>
      <w:r w:rsidRPr="006769A8">
        <w:rPr>
          <w:rFonts w:cstheme="minorHAnsi"/>
          <w:b/>
          <w:i/>
        </w:rPr>
        <w:t>Extensive,</w:t>
      </w:r>
      <w:r w:rsidRPr="006769A8">
        <w:rPr>
          <w:rFonts w:cstheme="minorHAnsi"/>
          <w:i/>
        </w:rPr>
        <w:t xml:space="preserve"> </w:t>
      </w:r>
      <w:r w:rsidRPr="006769A8">
        <w:rPr>
          <w:rFonts w:cstheme="minorHAnsi"/>
          <w:b/>
          <w:i/>
        </w:rPr>
        <w:t>connected clinical experiences</w:t>
      </w:r>
      <w:r w:rsidRPr="006769A8">
        <w:rPr>
          <w:rFonts w:cstheme="minorHAnsi"/>
          <w:i/>
        </w:rPr>
        <w:t xml:space="preserve"> that are carefully developed to support the ideas and practices presented in simultaneous,</w:t>
      </w:r>
      <w:r w:rsidR="00C66C63" w:rsidRPr="006769A8">
        <w:rPr>
          <w:rFonts w:cstheme="minorHAnsi"/>
          <w:i/>
        </w:rPr>
        <w:t xml:space="preserve"> closely interwoven course work.</w:t>
      </w:r>
      <w:r w:rsidRPr="006769A8">
        <w:rPr>
          <w:rFonts w:cstheme="minorHAnsi"/>
          <w:i/>
        </w:rPr>
        <w:t xml:space="preserve"> </w:t>
      </w:r>
    </w:p>
    <w:p w:rsidR="006769A8" w:rsidRPr="006769A8" w:rsidRDefault="006769A8" w:rsidP="003C185F">
      <w:pPr>
        <w:pStyle w:val="ListParagraph"/>
        <w:numPr>
          <w:ilvl w:val="0"/>
          <w:numId w:val="7"/>
        </w:numPr>
        <w:spacing w:after="120" w:line="240" w:lineRule="auto"/>
        <w:contextualSpacing w:val="0"/>
        <w:rPr>
          <w:rFonts w:cstheme="minorHAnsi"/>
          <w:i/>
        </w:rPr>
      </w:pPr>
      <w:r w:rsidRPr="006769A8">
        <w:rPr>
          <w:rFonts w:cstheme="minorHAnsi"/>
          <w:b/>
          <w:i/>
        </w:rPr>
        <w:t>An inquiry approach that connects theory and practice,</w:t>
      </w:r>
      <w:r w:rsidRPr="006769A8">
        <w:rPr>
          <w:rFonts w:cstheme="minorHAnsi"/>
          <w:i/>
        </w:rPr>
        <w:t xml:space="preserve"> including regular use of case methods, analyses of teaching, and learning, and teacher research applying learning to real problems of practice.</w:t>
      </w:r>
    </w:p>
    <w:p w:rsidR="006769A8" w:rsidRPr="006769A8" w:rsidRDefault="006769A8" w:rsidP="003C185F">
      <w:pPr>
        <w:pStyle w:val="ListParagraph"/>
        <w:numPr>
          <w:ilvl w:val="0"/>
          <w:numId w:val="7"/>
        </w:numPr>
        <w:spacing w:after="120" w:line="240" w:lineRule="auto"/>
        <w:ind w:left="714" w:hanging="357"/>
        <w:contextualSpacing w:val="0"/>
        <w:rPr>
          <w:rFonts w:cstheme="minorHAnsi"/>
        </w:rPr>
      </w:pPr>
      <w:r w:rsidRPr="006769A8">
        <w:rPr>
          <w:rFonts w:cstheme="minorHAnsi"/>
          <w:b/>
          <w:i/>
        </w:rPr>
        <w:lastRenderedPageBreak/>
        <w:t>Strong school-university partnerships</w:t>
      </w:r>
      <w:r w:rsidRPr="006769A8">
        <w:rPr>
          <w:rFonts w:cstheme="minorHAnsi"/>
          <w:i/>
        </w:rPr>
        <w:t xml:space="preserve"> that develop common knowledge and shared beliefs among school-and university-based faculty, allowing candidates to learn to teach in professional communities modelling state-of-the-art practice for diverse learners and collegial learning for adults.</w:t>
      </w:r>
    </w:p>
    <w:p w:rsidR="006769A8" w:rsidRPr="0063239C" w:rsidRDefault="00177355" w:rsidP="003C185F">
      <w:pPr>
        <w:spacing w:after="120"/>
        <w:rPr>
          <w:rFonts w:asciiTheme="minorHAnsi" w:hAnsiTheme="minorHAnsi" w:cstheme="minorHAnsi"/>
          <w:sz w:val="22"/>
          <w:szCs w:val="22"/>
        </w:rPr>
      </w:pPr>
      <w:r>
        <w:rPr>
          <w:rFonts w:asciiTheme="minorHAnsi" w:hAnsiTheme="minorHAnsi" w:cstheme="minorHAnsi"/>
          <w:sz w:val="22"/>
          <w:szCs w:val="22"/>
        </w:rPr>
        <w:t xml:space="preserve">To this, we can add dimensions associated with development of professional policy for systemic change: </w:t>
      </w:r>
    </w:p>
    <w:p w:rsidR="00177355" w:rsidRPr="00267A1B" w:rsidRDefault="00AC2A65" w:rsidP="00267A1B">
      <w:pPr>
        <w:pStyle w:val="ListParagraph"/>
        <w:numPr>
          <w:ilvl w:val="0"/>
          <w:numId w:val="7"/>
        </w:numPr>
        <w:spacing w:after="120" w:line="240" w:lineRule="auto"/>
        <w:contextualSpacing w:val="0"/>
        <w:rPr>
          <w:rFonts w:cstheme="minorHAnsi"/>
          <w:i/>
        </w:rPr>
      </w:pPr>
      <w:r w:rsidRPr="00267A1B">
        <w:rPr>
          <w:rFonts w:cstheme="minorHAnsi"/>
          <w:b/>
          <w:i/>
        </w:rPr>
        <w:t>Well-defined standards of professional knowledge and practice</w:t>
      </w:r>
      <w:r w:rsidR="00177355" w:rsidRPr="00267A1B">
        <w:rPr>
          <w:rFonts w:cstheme="minorHAnsi"/>
          <w:i/>
        </w:rPr>
        <w:t xml:space="preserve"> </w:t>
      </w:r>
      <w:r w:rsidR="00177355" w:rsidRPr="00267A1B">
        <w:rPr>
          <w:rFonts w:cstheme="minorHAnsi"/>
        </w:rPr>
        <w:t>that are</w:t>
      </w:r>
      <w:r w:rsidRPr="00267A1B">
        <w:rPr>
          <w:rFonts w:cstheme="minorHAnsi"/>
        </w:rPr>
        <w:t xml:space="preserve"> used to guide and evaluate course wo</w:t>
      </w:r>
      <w:r w:rsidR="00C66C63" w:rsidRPr="00267A1B">
        <w:rPr>
          <w:rFonts w:cstheme="minorHAnsi"/>
        </w:rPr>
        <w:t>rk and cl</w:t>
      </w:r>
      <w:r w:rsidR="00177355" w:rsidRPr="00267A1B">
        <w:rPr>
          <w:rFonts w:cstheme="minorHAnsi"/>
        </w:rPr>
        <w:t>assroom practice</w:t>
      </w:r>
      <w:r w:rsidRPr="00267A1B">
        <w:rPr>
          <w:rFonts w:cstheme="minorHAnsi"/>
        </w:rPr>
        <w:t xml:space="preserve"> </w:t>
      </w:r>
      <w:r w:rsidR="00267A1B" w:rsidRPr="00267A1B">
        <w:rPr>
          <w:rFonts w:cstheme="minorHAnsi"/>
        </w:rPr>
        <w:t>(Darling Hammond, 2012:232)</w:t>
      </w:r>
      <w:r w:rsidR="00267A1B">
        <w:rPr>
          <w:rFonts w:cstheme="minorHAnsi"/>
        </w:rPr>
        <w:t>.</w:t>
      </w:r>
    </w:p>
    <w:p w:rsidR="00AC2A65" w:rsidRPr="00177355" w:rsidRDefault="00AC2A65" w:rsidP="001774E6">
      <w:pPr>
        <w:pStyle w:val="ListParagraph"/>
        <w:numPr>
          <w:ilvl w:val="0"/>
          <w:numId w:val="7"/>
        </w:numPr>
        <w:spacing w:after="120" w:line="240" w:lineRule="auto"/>
        <w:ind w:left="714" w:hanging="357"/>
        <w:contextualSpacing w:val="0"/>
        <w:jc w:val="both"/>
        <w:rPr>
          <w:rFonts w:cstheme="minorHAnsi"/>
        </w:rPr>
      </w:pPr>
      <w:r w:rsidRPr="00177355">
        <w:rPr>
          <w:rFonts w:cstheme="minorHAnsi"/>
          <w:b/>
          <w:i/>
        </w:rPr>
        <w:t>Assessment based on professional standards</w:t>
      </w:r>
      <w:r w:rsidRPr="00177355">
        <w:rPr>
          <w:rFonts w:cstheme="minorHAnsi"/>
        </w:rPr>
        <w:t xml:space="preserve"> that evaluates teaching through demonstration of critical skills and abilities using performance assessments and portfolios that support the development of ‘adaptive expertise’ </w:t>
      </w:r>
      <w:r w:rsidR="00772CD7" w:rsidRPr="00177355">
        <w:rPr>
          <w:rFonts w:cstheme="minorHAnsi"/>
        </w:rPr>
        <w:t>(Le Fevre, Timperley and Ell, 2015</w:t>
      </w:r>
      <w:r w:rsidRPr="00177355">
        <w:rPr>
          <w:rFonts w:cstheme="minorHAnsi"/>
        </w:rPr>
        <w:t xml:space="preserve">). </w:t>
      </w:r>
    </w:p>
    <w:p w:rsidR="00B00A74" w:rsidRPr="00177355" w:rsidRDefault="006769A8" w:rsidP="001774E6">
      <w:pPr>
        <w:pStyle w:val="ListParagraph"/>
        <w:numPr>
          <w:ilvl w:val="0"/>
          <w:numId w:val="7"/>
        </w:numPr>
        <w:spacing w:after="120" w:line="240" w:lineRule="auto"/>
        <w:ind w:left="714" w:hanging="357"/>
        <w:contextualSpacing w:val="0"/>
        <w:jc w:val="both"/>
        <w:rPr>
          <w:rFonts w:cstheme="minorHAnsi"/>
          <w:b/>
          <w:i/>
        </w:rPr>
      </w:pPr>
      <w:r w:rsidRPr="00177355">
        <w:rPr>
          <w:rFonts w:cstheme="minorHAnsi"/>
          <w:b/>
          <w:i/>
        </w:rPr>
        <w:t>Selective recruitment</w:t>
      </w:r>
      <w:r w:rsidR="00D3328C" w:rsidRPr="00177355">
        <w:rPr>
          <w:rFonts w:cstheme="minorHAnsi"/>
          <w:b/>
          <w:i/>
        </w:rPr>
        <w:t xml:space="preserve"> </w:t>
      </w:r>
      <w:r w:rsidR="000E1444" w:rsidRPr="00177355">
        <w:rPr>
          <w:rFonts w:cstheme="minorHAnsi"/>
        </w:rPr>
        <w:t>It is often noted that high performing systems r</w:t>
      </w:r>
      <w:r w:rsidR="00B00A74" w:rsidRPr="00177355">
        <w:rPr>
          <w:rFonts w:cstheme="minorHAnsi"/>
        </w:rPr>
        <w:t xml:space="preserve">ecruit future teachers </w:t>
      </w:r>
      <w:r w:rsidR="006B5028" w:rsidRPr="00177355">
        <w:rPr>
          <w:rFonts w:cstheme="minorHAnsi"/>
        </w:rPr>
        <w:t xml:space="preserve">from </w:t>
      </w:r>
      <w:r w:rsidR="00B00A74" w:rsidRPr="00177355">
        <w:rPr>
          <w:rFonts w:cstheme="minorHAnsi"/>
        </w:rPr>
        <w:t xml:space="preserve">the </w:t>
      </w:r>
      <w:r w:rsidR="006B5028" w:rsidRPr="00177355">
        <w:rPr>
          <w:rFonts w:cstheme="minorHAnsi"/>
        </w:rPr>
        <w:t xml:space="preserve">top third </w:t>
      </w:r>
      <w:r w:rsidR="00B00A74" w:rsidRPr="00177355">
        <w:rPr>
          <w:rFonts w:cstheme="minorHAnsi"/>
        </w:rPr>
        <w:t>of the age cohort</w:t>
      </w:r>
      <w:r w:rsidR="004808D9" w:rsidRPr="00177355">
        <w:rPr>
          <w:rFonts w:cstheme="minorHAnsi"/>
        </w:rPr>
        <w:t xml:space="preserve"> (secondary school leavers)</w:t>
      </w:r>
      <w:r w:rsidR="000E1444" w:rsidRPr="00177355">
        <w:rPr>
          <w:rFonts w:cstheme="minorHAnsi"/>
        </w:rPr>
        <w:t xml:space="preserve"> (</w:t>
      </w:r>
      <w:r w:rsidR="00D3328C" w:rsidRPr="00177355">
        <w:rPr>
          <w:rFonts w:cstheme="minorHAnsi"/>
        </w:rPr>
        <w:t xml:space="preserve">top </w:t>
      </w:r>
      <w:r w:rsidR="000E1444" w:rsidRPr="00177355">
        <w:rPr>
          <w:rFonts w:cstheme="minorHAnsi"/>
        </w:rPr>
        <w:t>30% Singapore and Canada; 10% in Finland, 5% South Korea)</w:t>
      </w:r>
      <w:r w:rsidR="007C0605">
        <w:rPr>
          <w:rFonts w:cstheme="minorHAnsi"/>
        </w:rPr>
        <w:t xml:space="preserve"> (Schleicher, 2012)</w:t>
      </w:r>
      <w:r w:rsidR="00C66C63" w:rsidRPr="00177355">
        <w:rPr>
          <w:rFonts w:cstheme="minorHAnsi"/>
        </w:rPr>
        <w:t xml:space="preserve">. </w:t>
      </w:r>
      <w:r w:rsidR="00D3328C" w:rsidRPr="00177355">
        <w:rPr>
          <w:rFonts w:cstheme="minorHAnsi"/>
        </w:rPr>
        <w:t xml:space="preserve">It is assumed </w:t>
      </w:r>
      <w:r w:rsidR="0063239C" w:rsidRPr="00177355">
        <w:rPr>
          <w:rFonts w:cstheme="minorHAnsi"/>
        </w:rPr>
        <w:t xml:space="preserve">that </w:t>
      </w:r>
      <w:r w:rsidR="00D3328C" w:rsidRPr="00177355">
        <w:rPr>
          <w:rFonts w:cstheme="minorHAnsi"/>
        </w:rPr>
        <w:t xml:space="preserve">higher </w:t>
      </w:r>
      <w:r w:rsidR="0063239C" w:rsidRPr="00177355">
        <w:rPr>
          <w:rFonts w:cstheme="minorHAnsi"/>
        </w:rPr>
        <w:t>a</w:t>
      </w:r>
      <w:r w:rsidR="004808D9" w:rsidRPr="00177355">
        <w:rPr>
          <w:rFonts w:cstheme="minorHAnsi"/>
        </w:rPr>
        <w:t xml:space="preserve">ttainment thresholds </w:t>
      </w:r>
      <w:r w:rsidR="00D3328C" w:rsidRPr="00177355">
        <w:rPr>
          <w:rFonts w:cstheme="minorHAnsi"/>
        </w:rPr>
        <w:t xml:space="preserve">will </w:t>
      </w:r>
      <w:r w:rsidR="004808D9" w:rsidRPr="00177355">
        <w:rPr>
          <w:rFonts w:cstheme="minorHAnsi"/>
        </w:rPr>
        <w:t>rai</w:t>
      </w:r>
      <w:r w:rsidR="00D3328C" w:rsidRPr="00177355">
        <w:rPr>
          <w:rFonts w:cstheme="minorHAnsi"/>
        </w:rPr>
        <w:t>se the status of the profession and</w:t>
      </w:r>
      <w:r w:rsidR="004808D9" w:rsidRPr="00177355">
        <w:rPr>
          <w:rFonts w:cstheme="minorHAnsi"/>
        </w:rPr>
        <w:t xml:space="preserve"> </w:t>
      </w:r>
      <w:r w:rsidR="00D3328C" w:rsidRPr="00177355">
        <w:rPr>
          <w:rFonts w:cstheme="minorHAnsi"/>
        </w:rPr>
        <w:t>increase competition for places.</w:t>
      </w:r>
      <w:r w:rsidR="004808D9" w:rsidRPr="00177355">
        <w:rPr>
          <w:rFonts w:cstheme="minorHAnsi"/>
        </w:rPr>
        <w:t xml:space="preserve"> </w:t>
      </w:r>
      <w:r w:rsidR="00D3328C" w:rsidRPr="00177355">
        <w:rPr>
          <w:rFonts w:cstheme="minorHAnsi"/>
        </w:rPr>
        <w:t xml:space="preserve">However, this </w:t>
      </w:r>
      <w:r w:rsidR="007C0605">
        <w:rPr>
          <w:rFonts w:cstheme="minorHAnsi"/>
        </w:rPr>
        <w:t xml:space="preserve">may be </w:t>
      </w:r>
      <w:r w:rsidR="00D3328C" w:rsidRPr="00177355">
        <w:rPr>
          <w:rFonts w:cstheme="minorHAnsi"/>
        </w:rPr>
        <w:t>achieved at the risk of reducing</w:t>
      </w:r>
      <w:r w:rsidR="004808D9" w:rsidRPr="00177355">
        <w:rPr>
          <w:rFonts w:cstheme="minorHAnsi"/>
        </w:rPr>
        <w:t xml:space="preserve"> diversity among the</w:t>
      </w:r>
      <w:r w:rsidR="00D3328C" w:rsidRPr="00177355">
        <w:rPr>
          <w:rFonts w:cstheme="minorHAnsi"/>
        </w:rPr>
        <w:t xml:space="preserve"> workforce</w:t>
      </w:r>
      <w:r w:rsidR="004808D9" w:rsidRPr="00177355">
        <w:rPr>
          <w:rFonts w:cstheme="minorHAnsi"/>
        </w:rPr>
        <w:t>.</w:t>
      </w:r>
      <w:r w:rsidR="0063239C" w:rsidRPr="00177355">
        <w:rPr>
          <w:rFonts w:cstheme="minorHAnsi"/>
        </w:rPr>
        <w:t xml:space="preserve"> Moreo</w:t>
      </w:r>
      <w:r w:rsidR="0091640F" w:rsidRPr="00177355">
        <w:rPr>
          <w:rFonts w:cstheme="minorHAnsi"/>
        </w:rPr>
        <w:t>ver, as Ingersoll (2</w:t>
      </w:r>
      <w:r w:rsidR="00D3328C" w:rsidRPr="00177355">
        <w:rPr>
          <w:rFonts w:cstheme="minorHAnsi"/>
        </w:rPr>
        <w:t>007) points out there is little</w:t>
      </w:r>
      <w:r w:rsidR="0091640F" w:rsidRPr="00177355">
        <w:rPr>
          <w:rFonts w:cstheme="minorHAnsi"/>
        </w:rPr>
        <w:t xml:space="preserve"> point in lifting entry requirements for teacher education courses without ensuring that teachers’ salaries</w:t>
      </w:r>
      <w:r w:rsidR="00177355">
        <w:rPr>
          <w:rFonts w:cstheme="minorHAnsi"/>
        </w:rPr>
        <w:t xml:space="preserve">, </w:t>
      </w:r>
      <w:r w:rsidR="0091640F" w:rsidRPr="00177355">
        <w:rPr>
          <w:rFonts w:cstheme="minorHAnsi"/>
        </w:rPr>
        <w:t xml:space="preserve">working conditions </w:t>
      </w:r>
      <w:r w:rsidR="00177355">
        <w:rPr>
          <w:rFonts w:cstheme="minorHAnsi"/>
        </w:rPr>
        <w:t>and prospects for career development</w:t>
      </w:r>
      <w:r w:rsidR="00177355" w:rsidRPr="00177355">
        <w:rPr>
          <w:rFonts w:cstheme="minorHAnsi"/>
        </w:rPr>
        <w:t xml:space="preserve"> </w:t>
      </w:r>
      <w:r w:rsidR="0091640F" w:rsidRPr="00177355">
        <w:rPr>
          <w:rFonts w:cstheme="minorHAnsi"/>
        </w:rPr>
        <w:t>are commensurate to those of other professions co</w:t>
      </w:r>
      <w:r w:rsidR="00C012FC">
        <w:rPr>
          <w:rFonts w:cstheme="minorHAnsi"/>
        </w:rPr>
        <w:t xml:space="preserve">mpeting for similar </w:t>
      </w:r>
      <w:r w:rsidR="00C012FC" w:rsidRPr="00C012FC">
        <w:rPr>
          <w:rFonts w:cstheme="minorHAnsi"/>
        </w:rPr>
        <w:t>graduates. Without such measures, the recruitment and long-term retention of high-achieving graduates will likely remain problematic.</w:t>
      </w:r>
    </w:p>
    <w:p w:rsidR="00084D25" w:rsidRPr="00177355" w:rsidRDefault="00B00A74" w:rsidP="001774E6">
      <w:pPr>
        <w:pStyle w:val="ListParagraph"/>
        <w:numPr>
          <w:ilvl w:val="0"/>
          <w:numId w:val="7"/>
        </w:numPr>
        <w:spacing w:after="120" w:line="240" w:lineRule="auto"/>
        <w:ind w:left="714" w:hanging="357"/>
        <w:contextualSpacing w:val="0"/>
        <w:jc w:val="both"/>
        <w:rPr>
          <w:rFonts w:cstheme="minorHAnsi"/>
        </w:rPr>
      </w:pPr>
      <w:r w:rsidRPr="00177355">
        <w:rPr>
          <w:rFonts w:cstheme="minorHAnsi"/>
        </w:rPr>
        <w:t>High-achieving countries require and support a period of</w:t>
      </w:r>
      <w:r w:rsidRPr="00177355">
        <w:rPr>
          <w:rFonts w:cstheme="minorHAnsi"/>
          <w:b/>
          <w:i/>
        </w:rPr>
        <w:t xml:space="preserve"> mentored induction</w:t>
      </w:r>
      <w:r w:rsidRPr="00177355">
        <w:rPr>
          <w:rFonts w:cstheme="minorHAnsi"/>
        </w:rPr>
        <w:t xml:space="preserve"> </w:t>
      </w:r>
      <w:r w:rsidR="00F92A8E" w:rsidRPr="00177355">
        <w:rPr>
          <w:rFonts w:cstheme="minorHAnsi"/>
        </w:rPr>
        <w:t xml:space="preserve">prior to full registration </w:t>
      </w:r>
      <w:r w:rsidR="003C6472" w:rsidRPr="00177355">
        <w:rPr>
          <w:rFonts w:cstheme="minorHAnsi"/>
        </w:rPr>
        <w:t xml:space="preserve">(by </w:t>
      </w:r>
      <w:r w:rsidR="003C6472" w:rsidRPr="00177355">
        <w:rPr>
          <w:rFonts w:cstheme="minorHAnsi"/>
          <w:b/>
          <w:i/>
        </w:rPr>
        <w:t>trained mentors</w:t>
      </w:r>
      <w:r w:rsidR="003C6472" w:rsidRPr="00177355">
        <w:rPr>
          <w:rFonts w:cstheme="minorHAnsi"/>
        </w:rPr>
        <w:t xml:space="preserve">) </w:t>
      </w:r>
      <w:r w:rsidRPr="00177355">
        <w:rPr>
          <w:rFonts w:cstheme="minorHAnsi"/>
        </w:rPr>
        <w:t xml:space="preserve">and the provision of targeted support </w:t>
      </w:r>
      <w:r w:rsidR="00F92A8E" w:rsidRPr="00177355">
        <w:rPr>
          <w:rFonts w:cstheme="minorHAnsi"/>
        </w:rPr>
        <w:t xml:space="preserve">throughout </w:t>
      </w:r>
      <w:r w:rsidRPr="00177355">
        <w:rPr>
          <w:rFonts w:cstheme="minorHAnsi"/>
        </w:rPr>
        <w:t>the early career phase.</w:t>
      </w:r>
      <w:r w:rsidR="00F92A8E" w:rsidRPr="00177355">
        <w:rPr>
          <w:rFonts w:cstheme="minorHAnsi"/>
        </w:rPr>
        <w:t xml:space="preserve"> </w:t>
      </w:r>
      <w:r w:rsidR="004808D9" w:rsidRPr="00177355">
        <w:rPr>
          <w:rFonts w:cstheme="minorHAnsi"/>
        </w:rPr>
        <w:t>Continuing support for professional learning is associated with retention, reducing the ‘practice shock’ of the first years of teaching post-qualification.</w:t>
      </w:r>
      <w:r w:rsidR="00C81B52" w:rsidRPr="00177355">
        <w:rPr>
          <w:rFonts w:cstheme="minorHAnsi"/>
        </w:rPr>
        <w:t xml:space="preserve"> </w:t>
      </w:r>
      <w:r w:rsidR="00BB0921">
        <w:rPr>
          <w:rFonts w:cstheme="minorHAnsi"/>
        </w:rPr>
        <w:t xml:space="preserve">Effective school-based mentoring is best undertaken by colleagues </w:t>
      </w:r>
      <w:r w:rsidR="00C81B52" w:rsidRPr="00177355">
        <w:rPr>
          <w:rFonts w:cstheme="minorHAnsi"/>
        </w:rPr>
        <w:t xml:space="preserve">who </w:t>
      </w:r>
      <w:r w:rsidR="00BB0921">
        <w:rPr>
          <w:rFonts w:cstheme="minorHAnsi"/>
        </w:rPr>
        <w:t xml:space="preserve">are </w:t>
      </w:r>
      <w:r w:rsidR="00C81B52" w:rsidRPr="00177355">
        <w:rPr>
          <w:rFonts w:cstheme="minorHAnsi"/>
        </w:rPr>
        <w:t xml:space="preserve">not involved in </w:t>
      </w:r>
      <w:r w:rsidR="00BB0921">
        <w:rPr>
          <w:rFonts w:cstheme="minorHAnsi"/>
        </w:rPr>
        <w:t xml:space="preserve">formal </w:t>
      </w:r>
      <w:r w:rsidR="00C81B52" w:rsidRPr="00177355">
        <w:rPr>
          <w:rFonts w:cstheme="minorHAnsi"/>
        </w:rPr>
        <w:t xml:space="preserve">assessment </w:t>
      </w:r>
      <w:r w:rsidR="00BB0921">
        <w:rPr>
          <w:rFonts w:cstheme="minorHAnsi"/>
        </w:rPr>
        <w:t xml:space="preserve">to promote developmental rather than </w:t>
      </w:r>
      <w:r w:rsidR="007C0605">
        <w:rPr>
          <w:rFonts w:cstheme="minorHAnsi"/>
        </w:rPr>
        <w:t>‘</w:t>
      </w:r>
      <w:r w:rsidR="00C81B52" w:rsidRPr="00177355">
        <w:rPr>
          <w:rFonts w:cstheme="minorHAnsi"/>
        </w:rPr>
        <w:t>judgementoring</w:t>
      </w:r>
      <w:r w:rsidR="007C0605">
        <w:rPr>
          <w:rFonts w:cstheme="minorHAnsi"/>
        </w:rPr>
        <w:t>’</w:t>
      </w:r>
      <w:r w:rsidR="00C81B52" w:rsidRPr="00177355">
        <w:rPr>
          <w:rFonts w:cstheme="minorHAnsi"/>
        </w:rPr>
        <w:t xml:space="preserve"> (</w:t>
      </w:r>
      <w:r w:rsidR="00A11F62">
        <w:rPr>
          <w:rFonts w:cstheme="minorHAnsi"/>
        </w:rPr>
        <w:t xml:space="preserve">Hobson &amp; Malderez, 2013; </w:t>
      </w:r>
      <w:r w:rsidR="00C81B52" w:rsidRPr="00177355">
        <w:rPr>
          <w:rFonts w:cstheme="minorHAnsi"/>
        </w:rPr>
        <w:t>Hobson</w:t>
      </w:r>
      <w:r w:rsidR="00A11F62">
        <w:rPr>
          <w:rFonts w:cstheme="minorHAnsi"/>
        </w:rPr>
        <w:t>, 2016</w:t>
      </w:r>
      <w:r w:rsidR="00C81B52" w:rsidRPr="00177355">
        <w:rPr>
          <w:rFonts w:cstheme="minorHAnsi"/>
        </w:rPr>
        <w:t>).</w:t>
      </w:r>
      <w:r w:rsidR="000936FF" w:rsidRPr="00177355">
        <w:rPr>
          <w:rFonts w:cstheme="minorHAnsi"/>
        </w:rPr>
        <w:t xml:space="preserve"> The Toronto District School Board has improved retention by establishing a four-year structured model of induction that includes job-embedded learning for early career stage teachers and professional learning for mentors (Darling-Hammond, 2017).</w:t>
      </w:r>
    </w:p>
    <w:p w:rsidR="00084D25" w:rsidRPr="00503819" w:rsidRDefault="00B25292" w:rsidP="001774E6">
      <w:pPr>
        <w:pStyle w:val="ListParagraph"/>
        <w:numPr>
          <w:ilvl w:val="0"/>
          <w:numId w:val="7"/>
        </w:numPr>
        <w:spacing w:line="240" w:lineRule="auto"/>
        <w:ind w:left="714" w:hanging="357"/>
        <w:contextualSpacing w:val="0"/>
        <w:jc w:val="both"/>
        <w:rPr>
          <w:rFonts w:cstheme="minorHAnsi"/>
          <w:lang w:val="en-GB"/>
        </w:rPr>
      </w:pPr>
      <w:r>
        <w:rPr>
          <w:rFonts w:cstheme="minorHAnsi"/>
          <w:b/>
          <w:i/>
        </w:rPr>
        <w:t xml:space="preserve">Employment conditions </w:t>
      </w:r>
      <w:r w:rsidR="00C66C63" w:rsidRPr="00503819">
        <w:rPr>
          <w:rFonts w:cs="Calibri"/>
          <w:lang w:val="en-GB"/>
        </w:rPr>
        <w:t xml:space="preserve">Two </w:t>
      </w:r>
      <w:r w:rsidR="00084D25" w:rsidRPr="00503819">
        <w:rPr>
          <w:rFonts w:cs="Calibri"/>
          <w:lang w:val="en-GB"/>
        </w:rPr>
        <w:t xml:space="preserve">factors </w:t>
      </w:r>
      <w:r w:rsidR="00C66C63" w:rsidRPr="00503819">
        <w:rPr>
          <w:rFonts w:cs="Calibri"/>
          <w:lang w:val="en-GB"/>
        </w:rPr>
        <w:t xml:space="preserve">that greatly influence perceptions of </w:t>
      </w:r>
      <w:r w:rsidR="00084D25" w:rsidRPr="00503819">
        <w:rPr>
          <w:rFonts w:cs="Calibri"/>
          <w:lang w:val="en-GB"/>
        </w:rPr>
        <w:t xml:space="preserve">preparedness and </w:t>
      </w:r>
      <w:r w:rsidR="00C66C63" w:rsidRPr="00503819">
        <w:rPr>
          <w:rFonts w:cs="Calibri"/>
          <w:lang w:val="en-GB"/>
        </w:rPr>
        <w:t>effectiveness a</w:t>
      </w:r>
      <w:r w:rsidR="00084D25" w:rsidRPr="00503819">
        <w:rPr>
          <w:rFonts w:cs="Calibri"/>
          <w:lang w:val="en-GB"/>
        </w:rPr>
        <w:t>re em</w:t>
      </w:r>
      <w:r w:rsidR="00C66C63" w:rsidRPr="00503819">
        <w:rPr>
          <w:rFonts w:cs="Calibri"/>
          <w:lang w:val="en-GB"/>
        </w:rPr>
        <w:t>ployme</w:t>
      </w:r>
      <w:r w:rsidR="00BB0921" w:rsidRPr="00503819">
        <w:rPr>
          <w:rFonts w:cs="Calibri"/>
          <w:lang w:val="en-GB"/>
        </w:rPr>
        <w:t xml:space="preserve">nt status and workplace context </w:t>
      </w:r>
      <w:r w:rsidR="00BB0921" w:rsidRPr="00503819">
        <w:rPr>
          <w:rFonts w:cstheme="minorHAnsi"/>
        </w:rPr>
        <w:t>(SETE, 2015)</w:t>
      </w:r>
      <w:r w:rsidR="00BB0921" w:rsidRPr="00503819">
        <w:rPr>
          <w:rFonts w:cs="Calibri"/>
          <w:lang w:val="en-GB"/>
        </w:rPr>
        <w:t>. It is unsurprising that</w:t>
      </w:r>
      <w:r w:rsidR="00C66C63" w:rsidRPr="00503819">
        <w:rPr>
          <w:rFonts w:cs="Calibri"/>
          <w:lang w:val="en-GB"/>
        </w:rPr>
        <w:t xml:space="preserve"> </w:t>
      </w:r>
      <w:r w:rsidR="00BB0921" w:rsidRPr="00503819">
        <w:rPr>
          <w:rFonts w:cs="Calibri"/>
          <w:lang w:val="en-GB"/>
        </w:rPr>
        <w:t xml:space="preserve">early career </w:t>
      </w:r>
      <w:r w:rsidR="00177355" w:rsidRPr="00503819">
        <w:rPr>
          <w:rFonts w:cs="Calibri"/>
          <w:lang w:val="en-GB"/>
        </w:rPr>
        <w:t xml:space="preserve">teachers </w:t>
      </w:r>
      <w:r w:rsidR="00084D25" w:rsidRPr="00503819">
        <w:rPr>
          <w:rFonts w:cs="Calibri"/>
          <w:lang w:val="en-GB"/>
        </w:rPr>
        <w:t xml:space="preserve">employed on </w:t>
      </w:r>
      <w:r w:rsidR="00C66C63" w:rsidRPr="00503819">
        <w:rPr>
          <w:rFonts w:cs="Calibri"/>
          <w:lang w:val="en-GB"/>
        </w:rPr>
        <w:t xml:space="preserve">a </w:t>
      </w:r>
      <w:r w:rsidR="00084D25" w:rsidRPr="00503819">
        <w:rPr>
          <w:rFonts w:cs="Calibri"/>
          <w:lang w:val="en-GB"/>
        </w:rPr>
        <w:t>permanent b</w:t>
      </w:r>
      <w:r w:rsidR="00C66C63" w:rsidRPr="00503819">
        <w:rPr>
          <w:rFonts w:cs="Calibri"/>
          <w:lang w:val="en-GB"/>
        </w:rPr>
        <w:t xml:space="preserve">asis </w:t>
      </w:r>
      <w:r w:rsidR="00177355" w:rsidRPr="00503819">
        <w:rPr>
          <w:rFonts w:cs="Calibri"/>
          <w:lang w:val="en-GB"/>
        </w:rPr>
        <w:t xml:space="preserve">feel </w:t>
      </w:r>
      <w:r w:rsidR="00C66C63" w:rsidRPr="00503819">
        <w:rPr>
          <w:rFonts w:cs="Calibri"/>
          <w:lang w:val="en-GB"/>
        </w:rPr>
        <w:t xml:space="preserve">better </w:t>
      </w:r>
      <w:r w:rsidR="00084D25" w:rsidRPr="00503819">
        <w:rPr>
          <w:rFonts w:cs="Calibri"/>
          <w:lang w:val="en-GB"/>
        </w:rPr>
        <w:t>prepared and more effective in comparison to those in</w:t>
      </w:r>
      <w:r w:rsidR="00BB0921" w:rsidRPr="00503819">
        <w:rPr>
          <w:rFonts w:cs="Calibri"/>
          <w:lang w:val="en-GB"/>
        </w:rPr>
        <w:t xml:space="preserve"> intermittent and </w:t>
      </w:r>
      <w:r w:rsidR="007C0605" w:rsidRPr="00503819">
        <w:rPr>
          <w:rFonts w:cs="Calibri"/>
          <w:lang w:val="en-GB"/>
        </w:rPr>
        <w:t>fixed-term</w:t>
      </w:r>
      <w:r w:rsidR="00C66C63" w:rsidRPr="00503819">
        <w:rPr>
          <w:rFonts w:cs="Calibri"/>
          <w:lang w:val="en-GB"/>
        </w:rPr>
        <w:t xml:space="preserve"> positions</w:t>
      </w:r>
      <w:r w:rsidR="00BB0921" w:rsidRPr="00503819">
        <w:rPr>
          <w:rFonts w:cs="Calibri"/>
          <w:lang w:val="en-GB"/>
        </w:rPr>
        <w:t xml:space="preserve"> (Hulme and Menter, 2014)</w:t>
      </w:r>
      <w:r w:rsidR="00503819" w:rsidRPr="00503819">
        <w:rPr>
          <w:rFonts w:cs="Calibri"/>
          <w:lang w:val="en-GB"/>
        </w:rPr>
        <w:t>; or that</w:t>
      </w:r>
      <w:r w:rsidR="00BB0921" w:rsidRPr="00503819">
        <w:rPr>
          <w:rFonts w:cs="Calibri"/>
          <w:lang w:val="en-GB"/>
        </w:rPr>
        <w:t xml:space="preserve"> </w:t>
      </w:r>
      <w:r w:rsidR="00503819" w:rsidRPr="00503819">
        <w:rPr>
          <w:rFonts w:cs="Calibri"/>
          <w:lang w:val="en-GB"/>
        </w:rPr>
        <w:t xml:space="preserve">lack of a positive working environment is related to attrition, especially in disadvantaged schools with a higher proportion of less experienced teachers. </w:t>
      </w:r>
      <w:r w:rsidR="00503819" w:rsidRPr="00503819">
        <w:rPr>
          <w:rFonts w:cstheme="minorHAnsi"/>
          <w:lang w:val="en-GB"/>
        </w:rPr>
        <w:t xml:space="preserve">A recent NfER study found that, ‘Teachers are not </w:t>
      </w:r>
      <w:r w:rsidR="00503819" w:rsidRPr="00C012FC">
        <w:rPr>
          <w:rFonts w:cstheme="minorHAnsi"/>
          <w:lang w:val="en-GB"/>
        </w:rPr>
        <w:t xml:space="preserve">leaving </w:t>
      </w:r>
      <w:r w:rsidR="00C012FC" w:rsidRPr="00C012FC">
        <w:rPr>
          <w:rFonts w:cstheme="minorHAnsi"/>
          <w:lang w:val="en-GB"/>
        </w:rPr>
        <w:t xml:space="preserve">[the profession] </w:t>
      </w:r>
      <w:r w:rsidR="00503819" w:rsidRPr="00C012FC">
        <w:rPr>
          <w:rFonts w:cstheme="minorHAnsi"/>
          <w:lang w:val="en-GB"/>
        </w:rPr>
        <w:t>for higher</w:t>
      </w:r>
      <w:r w:rsidR="00503819" w:rsidRPr="00503819">
        <w:rPr>
          <w:rFonts w:cstheme="minorHAnsi"/>
          <w:lang w:val="en-GB"/>
        </w:rPr>
        <w:t>-paid jobs, at least not in the short term. On average they experience a ten per cent fall in wages compared to similar teachers who remain in teaching’ (Lynch et al., 2016:4).</w:t>
      </w:r>
    </w:p>
    <w:p w:rsidR="004C4F16" w:rsidRPr="00A629FB" w:rsidRDefault="007A04BC" w:rsidP="00A629FB">
      <w:pPr>
        <w:pStyle w:val="ListParagraph"/>
        <w:numPr>
          <w:ilvl w:val="0"/>
          <w:numId w:val="7"/>
        </w:numPr>
        <w:spacing w:after="120" w:line="240" w:lineRule="auto"/>
        <w:ind w:left="714" w:hanging="357"/>
        <w:contextualSpacing w:val="0"/>
        <w:jc w:val="both"/>
        <w:rPr>
          <w:rFonts w:cstheme="minorHAnsi"/>
        </w:rPr>
      </w:pPr>
      <w:r w:rsidRPr="007A04BC">
        <w:rPr>
          <w:rFonts w:cstheme="minorHAnsi"/>
          <w:b/>
          <w:i/>
        </w:rPr>
        <w:t>Development</w:t>
      </w:r>
      <w:r>
        <w:rPr>
          <w:rFonts w:cstheme="minorHAnsi"/>
        </w:rPr>
        <w:t xml:space="preserve"> </w:t>
      </w:r>
      <w:r w:rsidR="00613C49" w:rsidRPr="00177355">
        <w:rPr>
          <w:rFonts w:cstheme="minorHAnsi"/>
        </w:rPr>
        <w:t xml:space="preserve">High performing countries invest in high quality school-based </w:t>
      </w:r>
      <w:r w:rsidR="00613C49" w:rsidRPr="00177355">
        <w:rPr>
          <w:rFonts w:cstheme="minorHAnsi"/>
          <w:b/>
          <w:i/>
        </w:rPr>
        <w:t xml:space="preserve">continuing professional learning. </w:t>
      </w:r>
      <w:r w:rsidR="00613C49" w:rsidRPr="00177355">
        <w:rPr>
          <w:rFonts w:cstheme="minorHAnsi"/>
        </w:rPr>
        <w:t>In Finland, Shanghai, and some other high-performing count</w:t>
      </w:r>
      <w:r>
        <w:rPr>
          <w:rFonts w:cstheme="minorHAnsi"/>
        </w:rPr>
        <w:t xml:space="preserve">ries, teachers spend less time in class contact, </w:t>
      </w:r>
      <w:r w:rsidR="00613C49" w:rsidRPr="00177355">
        <w:rPr>
          <w:rFonts w:cstheme="minorHAnsi"/>
        </w:rPr>
        <w:t xml:space="preserve">allowing time for </w:t>
      </w:r>
      <w:r w:rsidR="00613C49" w:rsidRPr="00177355">
        <w:rPr>
          <w:rFonts w:cstheme="minorHAnsi"/>
          <w:b/>
          <w:i/>
        </w:rPr>
        <w:t>collaborative</w:t>
      </w:r>
      <w:r w:rsidR="00613C49" w:rsidRPr="00177355">
        <w:rPr>
          <w:rFonts w:cstheme="minorHAnsi"/>
        </w:rPr>
        <w:t xml:space="preserve"> </w:t>
      </w:r>
      <w:r w:rsidR="0099087D" w:rsidRPr="00177355">
        <w:rPr>
          <w:rFonts w:cstheme="minorHAnsi"/>
        </w:rPr>
        <w:t xml:space="preserve">and sustained </w:t>
      </w:r>
      <w:r w:rsidR="00613C49" w:rsidRPr="00177355">
        <w:rPr>
          <w:rFonts w:cstheme="minorHAnsi"/>
        </w:rPr>
        <w:t>professional l</w:t>
      </w:r>
      <w:r w:rsidR="00C66C63" w:rsidRPr="00177355">
        <w:rPr>
          <w:rFonts w:cstheme="minorHAnsi"/>
        </w:rPr>
        <w:t xml:space="preserve">earning (Wang, Coleman, Coley, &amp; Phelps </w:t>
      </w:r>
      <w:r w:rsidR="00F31635" w:rsidRPr="00177355">
        <w:rPr>
          <w:rFonts w:cstheme="minorHAnsi"/>
        </w:rPr>
        <w:t>2003:7)</w:t>
      </w:r>
      <w:r w:rsidR="009E2B48" w:rsidRPr="00177355">
        <w:rPr>
          <w:rFonts w:cstheme="minorHAnsi"/>
        </w:rPr>
        <w:t xml:space="preserve">. New Zealand and Australia have invested in system level approaches to </w:t>
      </w:r>
      <w:r w:rsidR="00067B61">
        <w:rPr>
          <w:rFonts w:cstheme="minorHAnsi"/>
        </w:rPr>
        <w:t xml:space="preserve">developing professional capacity </w:t>
      </w:r>
      <w:r w:rsidR="009E2B48" w:rsidRPr="00177355">
        <w:rPr>
          <w:rFonts w:cstheme="minorHAnsi"/>
        </w:rPr>
        <w:t>(</w:t>
      </w:r>
      <w:r w:rsidR="00D2281A" w:rsidRPr="00236702">
        <w:rPr>
          <w:rFonts w:cstheme="minorHAnsi"/>
        </w:rPr>
        <w:t>Timperley</w:t>
      </w:r>
      <w:r w:rsidR="00236702" w:rsidRPr="00236702">
        <w:rPr>
          <w:rFonts w:cstheme="minorHAnsi"/>
        </w:rPr>
        <w:t xml:space="preserve"> et al., 2007</w:t>
      </w:r>
      <w:r w:rsidR="009E2B48" w:rsidRPr="00236702">
        <w:rPr>
          <w:rFonts w:cstheme="minorHAnsi"/>
        </w:rPr>
        <w:t>).</w:t>
      </w:r>
      <w:r w:rsidR="009E2B48" w:rsidRPr="00177355">
        <w:rPr>
          <w:rFonts w:cstheme="minorHAnsi"/>
        </w:rPr>
        <w:t xml:space="preserve"> British Colombia, Shanghai, Hong Kong and Singapore prioritise opportunities for collaborative professional learning (Jensen et al., 2016).</w:t>
      </w:r>
      <w:r w:rsidR="004C4F16" w:rsidRPr="00A629FB">
        <w:rPr>
          <w:rFonts w:cstheme="minorHAnsi"/>
          <w:sz w:val="28"/>
          <w:szCs w:val="28"/>
          <w:highlight w:val="lightGray"/>
        </w:rPr>
        <w:br w:type="page"/>
      </w:r>
    </w:p>
    <w:p w:rsidR="00EB6190" w:rsidRPr="004C4F16" w:rsidRDefault="00EB6190" w:rsidP="004C4F16">
      <w:pPr>
        <w:pStyle w:val="Heading1"/>
        <w:rPr>
          <w:rFonts w:asciiTheme="minorHAnsi" w:hAnsiTheme="minorHAnsi" w:cstheme="minorHAnsi"/>
          <w:sz w:val="28"/>
          <w:szCs w:val="28"/>
        </w:rPr>
      </w:pPr>
      <w:r w:rsidRPr="004C4F16">
        <w:rPr>
          <w:sz w:val="28"/>
          <w:szCs w:val="28"/>
        </w:rPr>
        <w:lastRenderedPageBreak/>
        <w:t xml:space="preserve">What might we learn? </w:t>
      </w:r>
    </w:p>
    <w:p w:rsidR="00450467" w:rsidRPr="00450467" w:rsidRDefault="00750388" w:rsidP="004C4F1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An Evaluation F</w:t>
      </w:r>
      <w:r w:rsidR="00450467" w:rsidRPr="00450467">
        <w:rPr>
          <w:rFonts w:asciiTheme="minorHAnsi" w:hAnsiTheme="minorHAnsi" w:cstheme="minorHAnsi"/>
          <w:b/>
          <w:sz w:val="22"/>
          <w:szCs w:val="22"/>
        </w:rPr>
        <w:t>ram</w:t>
      </w:r>
      <w:r w:rsidR="00450467">
        <w:rPr>
          <w:rFonts w:asciiTheme="minorHAnsi" w:hAnsiTheme="minorHAnsi" w:cstheme="minorHAnsi"/>
          <w:b/>
          <w:sz w:val="22"/>
          <w:szCs w:val="22"/>
        </w:rPr>
        <w:t>e</w:t>
      </w:r>
      <w:r w:rsidR="00450467" w:rsidRPr="00450467">
        <w:rPr>
          <w:rFonts w:asciiTheme="minorHAnsi" w:hAnsiTheme="minorHAnsi" w:cstheme="minorHAnsi"/>
          <w:b/>
          <w:sz w:val="22"/>
          <w:szCs w:val="22"/>
        </w:rPr>
        <w:t>work</w:t>
      </w:r>
      <w:r>
        <w:rPr>
          <w:rFonts w:asciiTheme="minorHAnsi" w:hAnsiTheme="minorHAnsi" w:cstheme="minorHAnsi"/>
          <w:b/>
          <w:sz w:val="22"/>
          <w:szCs w:val="22"/>
        </w:rPr>
        <w:t xml:space="preserve"> for Teacher Education </w:t>
      </w:r>
    </w:p>
    <w:p w:rsidR="0012497E" w:rsidRPr="00750388" w:rsidRDefault="0012497E" w:rsidP="004C4F16">
      <w:pPr>
        <w:autoSpaceDE w:val="0"/>
        <w:autoSpaceDN w:val="0"/>
        <w:adjustRightInd w:val="0"/>
        <w:jc w:val="both"/>
        <w:rPr>
          <w:rFonts w:asciiTheme="minorHAnsi" w:hAnsiTheme="minorHAnsi" w:cs="Calibri"/>
          <w:color w:val="auto"/>
          <w:sz w:val="22"/>
          <w:szCs w:val="22"/>
          <w:lang w:val="en-GB"/>
        </w:rPr>
      </w:pPr>
      <w:r w:rsidRPr="00C012FC">
        <w:rPr>
          <w:rFonts w:asciiTheme="minorHAnsi" w:hAnsiTheme="minorHAnsi" w:cstheme="minorHAnsi"/>
          <w:sz w:val="22"/>
          <w:szCs w:val="22"/>
        </w:rPr>
        <w:t>Recent research</w:t>
      </w:r>
      <w:r w:rsidR="0073291C" w:rsidRPr="00C012FC">
        <w:rPr>
          <w:rFonts w:asciiTheme="minorHAnsi" w:hAnsiTheme="minorHAnsi" w:cstheme="minorHAnsi"/>
          <w:sz w:val="22"/>
          <w:szCs w:val="22"/>
        </w:rPr>
        <w:t xml:space="preserve"> highlights the complexity of system improvement and cautions against naïve answerism</w:t>
      </w:r>
      <w:r w:rsidRPr="00C012FC">
        <w:rPr>
          <w:rFonts w:asciiTheme="minorHAnsi" w:hAnsiTheme="minorHAnsi" w:cstheme="minorHAnsi"/>
          <w:sz w:val="22"/>
          <w:szCs w:val="22"/>
        </w:rPr>
        <w:t>: ‘</w:t>
      </w:r>
      <w:r w:rsidRPr="00C012FC">
        <w:rPr>
          <w:rFonts w:asciiTheme="minorHAnsi" w:hAnsiTheme="minorHAnsi" w:cs="Calibri"/>
          <w:sz w:val="22"/>
          <w:szCs w:val="22"/>
          <w:lang w:val="en-GB"/>
        </w:rPr>
        <w:t>the complexity of studying the effe</w:t>
      </w:r>
      <w:r w:rsidR="0073291C" w:rsidRPr="00C012FC">
        <w:rPr>
          <w:rFonts w:asciiTheme="minorHAnsi" w:hAnsiTheme="minorHAnsi" w:cs="Calibri"/>
          <w:sz w:val="22"/>
          <w:szCs w:val="22"/>
          <w:lang w:val="en-GB"/>
        </w:rPr>
        <w:t xml:space="preserve">ctiveness of teacher education … </w:t>
      </w:r>
      <w:r w:rsidRPr="00C012FC">
        <w:rPr>
          <w:rFonts w:asciiTheme="minorHAnsi" w:hAnsiTheme="minorHAnsi" w:cs="Calibri"/>
          <w:sz w:val="22"/>
          <w:szCs w:val="22"/>
          <w:lang w:val="en-GB"/>
        </w:rPr>
        <w:t>is contrary to the linear, cause</w:t>
      </w:r>
      <w:r w:rsidRPr="00C012FC">
        <w:rPr>
          <w:rFonts w:asciiTheme="minorHAnsi" w:hAnsiTheme="minorHAnsi" w:cs="Cambria Math"/>
          <w:sz w:val="22"/>
          <w:szCs w:val="22"/>
          <w:lang w:val="en-GB"/>
        </w:rPr>
        <w:t>‐</w:t>
      </w:r>
      <w:r w:rsidRPr="00C012FC">
        <w:rPr>
          <w:rFonts w:asciiTheme="minorHAnsi" w:hAnsiTheme="minorHAnsi" w:cs="Calibri"/>
          <w:sz w:val="22"/>
          <w:szCs w:val="22"/>
          <w:lang w:val="en-GB"/>
        </w:rPr>
        <w:t>and</w:t>
      </w:r>
      <w:r w:rsidRPr="00C012FC">
        <w:rPr>
          <w:rFonts w:asciiTheme="minorHAnsi" w:hAnsiTheme="minorHAnsi" w:cs="Cambria Math"/>
          <w:sz w:val="22"/>
          <w:szCs w:val="22"/>
          <w:lang w:val="en-GB"/>
        </w:rPr>
        <w:t>‐</w:t>
      </w:r>
      <w:r w:rsidRPr="00C012FC">
        <w:rPr>
          <w:rFonts w:asciiTheme="minorHAnsi" w:hAnsiTheme="minorHAnsi" w:cs="Calibri"/>
          <w:sz w:val="22"/>
          <w:szCs w:val="22"/>
          <w:lang w:val="en-GB"/>
        </w:rPr>
        <w:t>effect framing of teacher education and beginning teacher effectiveness often being sought by policy makers</w:t>
      </w:r>
      <w:r w:rsidRPr="00C012FC">
        <w:rPr>
          <w:rFonts w:asciiTheme="minorHAnsi" w:hAnsiTheme="minorHAnsi"/>
          <w:sz w:val="22"/>
          <w:szCs w:val="22"/>
          <w:lang w:val="en-GB"/>
        </w:rPr>
        <w:t>’</w:t>
      </w:r>
      <w:r w:rsidRPr="00C012FC">
        <w:rPr>
          <w:rFonts w:asciiTheme="minorHAnsi" w:hAnsiTheme="minorHAnsi" w:cs="Calibri"/>
          <w:sz w:val="22"/>
          <w:szCs w:val="22"/>
          <w:lang w:val="en-GB"/>
        </w:rPr>
        <w:t xml:space="preserve"> (SETE 2015:23).</w:t>
      </w:r>
      <w:r w:rsidR="00A2782D" w:rsidRPr="00C012FC">
        <w:rPr>
          <w:rFonts w:asciiTheme="minorHAnsi" w:hAnsiTheme="minorHAnsi" w:cs="Calibri"/>
          <w:sz w:val="22"/>
          <w:szCs w:val="22"/>
          <w:lang w:val="en-GB"/>
        </w:rPr>
        <w:t xml:space="preserve"> </w:t>
      </w:r>
      <w:r w:rsidR="006B7461" w:rsidRPr="00C012FC">
        <w:rPr>
          <w:rFonts w:asciiTheme="minorHAnsi" w:hAnsiTheme="minorHAnsi" w:cs="Calibri"/>
          <w:sz w:val="22"/>
          <w:szCs w:val="22"/>
          <w:lang w:val="en-GB"/>
        </w:rPr>
        <w:t xml:space="preserve">Providers in </w:t>
      </w:r>
      <w:r w:rsidR="00053D44" w:rsidRPr="00C012FC">
        <w:rPr>
          <w:rFonts w:asciiTheme="minorHAnsi" w:hAnsiTheme="minorHAnsi" w:cs="Calibri"/>
          <w:sz w:val="22"/>
          <w:szCs w:val="22"/>
          <w:lang w:val="en-GB"/>
        </w:rPr>
        <w:t xml:space="preserve">England working to </w:t>
      </w:r>
      <w:r w:rsidR="009447CE" w:rsidRPr="00C012FC">
        <w:rPr>
          <w:rFonts w:asciiTheme="minorHAnsi" w:hAnsiTheme="minorHAnsi" w:cs="Calibri"/>
          <w:sz w:val="22"/>
          <w:szCs w:val="22"/>
          <w:lang w:val="en-GB"/>
        </w:rPr>
        <w:t>the current inspection framework f</w:t>
      </w:r>
      <w:r w:rsidR="00A85C4B" w:rsidRPr="00C012FC">
        <w:rPr>
          <w:rFonts w:asciiTheme="minorHAnsi" w:hAnsiTheme="minorHAnsi" w:cs="Calibri"/>
          <w:sz w:val="22"/>
          <w:szCs w:val="22"/>
          <w:lang w:val="en-GB"/>
        </w:rPr>
        <w:t xml:space="preserve">or ITT (Ofsted 2015) </w:t>
      </w:r>
      <w:r w:rsidR="00053D44" w:rsidRPr="00C012FC">
        <w:rPr>
          <w:rFonts w:asciiTheme="minorHAnsi" w:hAnsiTheme="minorHAnsi" w:cs="Calibri"/>
          <w:sz w:val="22"/>
          <w:szCs w:val="22"/>
          <w:lang w:val="en-GB"/>
        </w:rPr>
        <w:t xml:space="preserve">are judged </w:t>
      </w:r>
      <w:r w:rsidR="00A85C4B" w:rsidRPr="00C012FC">
        <w:rPr>
          <w:rFonts w:asciiTheme="minorHAnsi" w:hAnsiTheme="minorHAnsi" w:cs="Calibri"/>
          <w:sz w:val="22"/>
          <w:szCs w:val="22"/>
          <w:lang w:val="en-GB"/>
        </w:rPr>
        <w:t xml:space="preserve">on the basis </w:t>
      </w:r>
      <w:r w:rsidR="009447CE" w:rsidRPr="00C012FC">
        <w:rPr>
          <w:rFonts w:asciiTheme="minorHAnsi" w:hAnsiTheme="minorHAnsi" w:cs="Calibri"/>
          <w:sz w:val="22"/>
          <w:szCs w:val="22"/>
          <w:lang w:val="en-GB"/>
        </w:rPr>
        <w:t>of</w:t>
      </w:r>
      <w:r w:rsidR="00A85C4B" w:rsidRPr="00C012FC">
        <w:rPr>
          <w:rFonts w:asciiTheme="minorHAnsi" w:hAnsiTheme="minorHAnsi" w:cs="Calibri"/>
          <w:sz w:val="22"/>
          <w:szCs w:val="22"/>
          <w:lang w:val="en-GB"/>
        </w:rPr>
        <w:t xml:space="preserve"> observations of</w:t>
      </w:r>
      <w:r w:rsidR="009447CE" w:rsidRPr="00C012FC">
        <w:rPr>
          <w:rFonts w:asciiTheme="minorHAnsi" w:hAnsiTheme="minorHAnsi" w:cs="Calibri"/>
          <w:sz w:val="22"/>
          <w:szCs w:val="22"/>
          <w:lang w:val="en-GB"/>
        </w:rPr>
        <w:t xml:space="preserve"> trainees late in the training</w:t>
      </w:r>
      <w:r w:rsidR="00A85C4B" w:rsidRPr="00C012FC">
        <w:rPr>
          <w:rFonts w:asciiTheme="minorHAnsi" w:hAnsiTheme="minorHAnsi" w:cs="Calibri"/>
          <w:sz w:val="22"/>
          <w:szCs w:val="22"/>
          <w:lang w:val="en-GB"/>
        </w:rPr>
        <w:t xml:space="preserve"> year and early in the NQT year. </w:t>
      </w:r>
      <w:r w:rsidR="00000C89" w:rsidRPr="00C012FC">
        <w:rPr>
          <w:rFonts w:asciiTheme="minorHAnsi" w:hAnsiTheme="minorHAnsi" w:cs="MyriadPro-Regular"/>
          <w:sz w:val="22"/>
          <w:szCs w:val="22"/>
          <w:lang w:val="en-GB"/>
        </w:rPr>
        <w:t>The two-</w:t>
      </w:r>
      <w:r w:rsidR="00BE57A8" w:rsidRPr="00C012FC">
        <w:rPr>
          <w:rFonts w:asciiTheme="minorHAnsi" w:hAnsiTheme="minorHAnsi" w:cs="MyriadPro-Regular"/>
          <w:sz w:val="22"/>
          <w:szCs w:val="22"/>
          <w:lang w:val="en-GB"/>
        </w:rPr>
        <w:t>stage inspections have made providers responsible for performance of former trainee teachers into their NQT year, but witho</w:t>
      </w:r>
      <w:r w:rsidR="000A1054" w:rsidRPr="00C012FC">
        <w:rPr>
          <w:rFonts w:asciiTheme="minorHAnsi" w:hAnsiTheme="minorHAnsi" w:cs="MyriadPro-Regular"/>
          <w:sz w:val="22"/>
          <w:szCs w:val="22"/>
          <w:lang w:val="en-GB"/>
        </w:rPr>
        <w:t>ut funding for this phase or the</w:t>
      </w:r>
      <w:r w:rsidR="00BE57A8" w:rsidRPr="00C012FC">
        <w:rPr>
          <w:rFonts w:asciiTheme="minorHAnsi" w:hAnsiTheme="minorHAnsi" w:cs="MyriadPro-Regular"/>
          <w:sz w:val="22"/>
          <w:szCs w:val="22"/>
          <w:lang w:val="en-GB"/>
        </w:rPr>
        <w:t xml:space="preserve"> ability to influence t</w:t>
      </w:r>
      <w:r w:rsidR="000A1054" w:rsidRPr="00C012FC">
        <w:rPr>
          <w:rFonts w:asciiTheme="minorHAnsi" w:hAnsiTheme="minorHAnsi" w:cs="MyriadPro-Regular"/>
          <w:sz w:val="22"/>
          <w:szCs w:val="22"/>
          <w:lang w:val="en-GB"/>
        </w:rPr>
        <w:t xml:space="preserve">he </w:t>
      </w:r>
      <w:r w:rsidR="00BE57A8" w:rsidRPr="00C012FC">
        <w:rPr>
          <w:rFonts w:asciiTheme="minorHAnsi" w:hAnsiTheme="minorHAnsi" w:cs="MyriadPro-Regular"/>
          <w:sz w:val="22"/>
          <w:szCs w:val="22"/>
          <w:lang w:val="en-GB"/>
        </w:rPr>
        <w:t xml:space="preserve">progression happening at that stage. </w:t>
      </w:r>
      <w:r w:rsidR="00BE57A8" w:rsidRPr="00C012FC">
        <w:rPr>
          <w:rFonts w:asciiTheme="minorHAnsi" w:hAnsiTheme="minorHAnsi" w:cs="Calibri"/>
          <w:sz w:val="22"/>
          <w:szCs w:val="22"/>
          <w:lang w:val="en-GB"/>
        </w:rPr>
        <w:t>Th</w:t>
      </w:r>
      <w:r w:rsidR="00C976FD" w:rsidRPr="00C012FC">
        <w:rPr>
          <w:rFonts w:asciiTheme="minorHAnsi" w:hAnsiTheme="minorHAnsi" w:cs="Calibri"/>
          <w:sz w:val="22"/>
          <w:szCs w:val="22"/>
          <w:lang w:val="en-GB"/>
        </w:rPr>
        <w:t>is assumes</w:t>
      </w:r>
      <w:r w:rsidR="009447CE" w:rsidRPr="00C012FC">
        <w:rPr>
          <w:rFonts w:asciiTheme="minorHAnsi" w:hAnsiTheme="minorHAnsi" w:cs="Calibri"/>
          <w:sz w:val="22"/>
          <w:szCs w:val="22"/>
          <w:lang w:val="en-GB"/>
        </w:rPr>
        <w:t xml:space="preserve"> linear progression overlooking the complexity of the many contexts in wh</w:t>
      </w:r>
      <w:r w:rsidR="000A1054" w:rsidRPr="00C012FC">
        <w:rPr>
          <w:rFonts w:asciiTheme="minorHAnsi" w:hAnsiTheme="minorHAnsi" w:cs="Calibri"/>
          <w:sz w:val="22"/>
          <w:szCs w:val="22"/>
          <w:lang w:val="en-GB"/>
        </w:rPr>
        <w:t>ich NQTs are</w:t>
      </w:r>
      <w:r w:rsidR="009447CE" w:rsidRPr="00C012FC">
        <w:rPr>
          <w:rFonts w:asciiTheme="minorHAnsi" w:hAnsiTheme="minorHAnsi" w:cs="Calibri"/>
          <w:sz w:val="22"/>
          <w:szCs w:val="22"/>
          <w:lang w:val="en-GB"/>
        </w:rPr>
        <w:t xml:space="preserve"> employed and to which they must adapt</w:t>
      </w:r>
      <w:r w:rsidR="000A1054" w:rsidRPr="00C012FC">
        <w:rPr>
          <w:rFonts w:asciiTheme="minorHAnsi" w:hAnsiTheme="minorHAnsi" w:cs="Calibri"/>
          <w:sz w:val="22"/>
          <w:szCs w:val="22"/>
          <w:lang w:val="en-GB"/>
        </w:rPr>
        <w:t>, but fails to acknowledge the different impact of this on different providers with schools at times both the provider and employer</w:t>
      </w:r>
      <w:r w:rsidR="009447CE" w:rsidRPr="00C012FC">
        <w:rPr>
          <w:rFonts w:asciiTheme="minorHAnsi" w:hAnsiTheme="minorHAnsi" w:cs="Calibri"/>
          <w:sz w:val="22"/>
          <w:szCs w:val="22"/>
          <w:lang w:val="en-GB"/>
        </w:rPr>
        <w:t>.</w:t>
      </w:r>
      <w:r w:rsidR="00A85C4B" w:rsidRPr="00C012FC">
        <w:rPr>
          <w:rFonts w:asciiTheme="minorHAnsi" w:hAnsiTheme="minorHAnsi" w:cs="Calibri"/>
          <w:sz w:val="22"/>
          <w:szCs w:val="22"/>
          <w:lang w:val="en-GB"/>
        </w:rPr>
        <w:t xml:space="preserve"> As a</w:t>
      </w:r>
      <w:r w:rsidR="00BE57A8" w:rsidRPr="00C012FC">
        <w:rPr>
          <w:rFonts w:asciiTheme="minorHAnsi" w:hAnsiTheme="minorHAnsi" w:cs="Calibri"/>
          <w:sz w:val="22"/>
          <w:szCs w:val="22"/>
          <w:lang w:val="en-GB"/>
        </w:rPr>
        <w:t xml:space="preserve"> new framework is due in 2019 the</w:t>
      </w:r>
      <w:r w:rsidR="00A85C4B" w:rsidRPr="00C012FC">
        <w:rPr>
          <w:rFonts w:asciiTheme="minorHAnsi" w:hAnsiTheme="minorHAnsi" w:cs="Calibri"/>
          <w:sz w:val="22"/>
          <w:szCs w:val="22"/>
          <w:lang w:val="en-GB"/>
        </w:rPr>
        <w:t xml:space="preserve"> opportunity presents itself to identify more nuanced, </w:t>
      </w:r>
      <w:r w:rsidR="00CE1191">
        <w:rPr>
          <w:rFonts w:asciiTheme="minorHAnsi" w:hAnsiTheme="minorHAnsi" w:cs="Calibri"/>
          <w:sz w:val="22"/>
          <w:szCs w:val="22"/>
          <w:lang w:val="en-GB"/>
        </w:rPr>
        <w:t xml:space="preserve">multidimensional </w:t>
      </w:r>
      <w:r w:rsidR="00A85C4B" w:rsidRPr="00C012FC">
        <w:rPr>
          <w:rFonts w:asciiTheme="minorHAnsi" w:hAnsiTheme="minorHAnsi" w:cs="Calibri"/>
          <w:sz w:val="22"/>
          <w:szCs w:val="22"/>
          <w:lang w:val="en-GB"/>
        </w:rPr>
        <w:t>measures of the effectiveness of initial teacher education.</w:t>
      </w:r>
      <w:r w:rsidR="00750388">
        <w:rPr>
          <w:rFonts w:asciiTheme="minorHAnsi" w:eastAsiaTheme="minorEastAsia" w:hAnsiTheme="minorHAnsi" w:cs="BemboMTPro-Regular"/>
          <w:color w:val="FF0000"/>
          <w:sz w:val="22"/>
          <w:szCs w:val="22"/>
        </w:rPr>
        <w:t xml:space="preserve"> </w:t>
      </w:r>
      <w:r w:rsidR="00750388" w:rsidRPr="00750388">
        <w:rPr>
          <w:rFonts w:asciiTheme="minorHAnsi" w:eastAsiaTheme="minorEastAsia" w:hAnsiTheme="minorHAnsi" w:cs="BemboMTPro-Regular"/>
          <w:color w:val="auto"/>
          <w:sz w:val="22"/>
          <w:szCs w:val="22"/>
        </w:rPr>
        <w:t>Evaluations of ITE quality must take into account more than one type of evidence (e.g. surveys, documentary analysis, observation) as well as the assessment of more than one programme aspect (e.g. programme structures, teacher educator quality, student teacher performance) to more clearly capture the quality and impact of ITE programmes (Rauschenberger, Adams and Kennedy, 2017).</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C012FC" w:rsidRPr="00450467" w:rsidRDefault="00C012FC" w:rsidP="004C4F16">
      <w:pPr>
        <w:jc w:val="both"/>
        <w:rPr>
          <w:rFonts w:asciiTheme="minorHAnsi" w:hAnsiTheme="minorHAnsi" w:cstheme="minorHAnsi"/>
          <w:b/>
          <w:color w:val="auto"/>
          <w:sz w:val="22"/>
          <w:szCs w:val="22"/>
        </w:rPr>
      </w:pPr>
      <w:r w:rsidRPr="00450467">
        <w:rPr>
          <w:rFonts w:asciiTheme="minorHAnsi" w:hAnsiTheme="minorHAnsi" w:cstheme="minorHAnsi"/>
          <w:b/>
          <w:color w:val="auto"/>
          <w:sz w:val="22"/>
          <w:szCs w:val="22"/>
        </w:rPr>
        <w:t xml:space="preserve">The Need for a Stable Policy Context  </w:t>
      </w:r>
    </w:p>
    <w:p w:rsidR="00CC2CF5" w:rsidRDefault="009E3161" w:rsidP="004C4F16">
      <w:pPr>
        <w:autoSpaceDE w:val="0"/>
        <w:autoSpaceDN w:val="0"/>
        <w:adjustRightInd w:val="0"/>
        <w:jc w:val="both"/>
        <w:rPr>
          <w:rFonts w:asciiTheme="minorHAnsi" w:hAnsiTheme="minorHAnsi" w:cs="AGaramondPro-Regular"/>
          <w:sz w:val="22"/>
          <w:szCs w:val="22"/>
          <w:lang w:val="en-GB"/>
        </w:rPr>
      </w:pPr>
      <w:r w:rsidRPr="00C012FC">
        <w:rPr>
          <w:rFonts w:asciiTheme="minorHAnsi" w:hAnsiTheme="minorHAnsi" w:cstheme="minorHAnsi"/>
          <w:sz w:val="22"/>
          <w:szCs w:val="22"/>
        </w:rPr>
        <w:t xml:space="preserve">Ingersoll et al. (2014: xiii) note, ‘High-achieving countries have </w:t>
      </w:r>
      <w:r w:rsidRPr="00C012FC">
        <w:rPr>
          <w:rFonts w:asciiTheme="minorHAnsi" w:hAnsiTheme="minorHAnsi" w:cstheme="minorHAnsi"/>
          <w:i/>
          <w:sz w:val="22"/>
          <w:szCs w:val="22"/>
        </w:rPr>
        <w:t xml:space="preserve">stable </w:t>
      </w:r>
      <w:r w:rsidRPr="00C012FC">
        <w:rPr>
          <w:rFonts w:asciiTheme="minorHAnsi" w:hAnsiTheme="minorHAnsi" w:cstheme="minorHAnsi"/>
          <w:sz w:val="22"/>
          <w:szCs w:val="22"/>
        </w:rPr>
        <w:t>and effective policies and mechanisms in place to assure the quality of initial teacher education entrants, progra</w:t>
      </w:r>
      <w:r w:rsidR="00CE1191">
        <w:rPr>
          <w:rFonts w:asciiTheme="minorHAnsi" w:hAnsiTheme="minorHAnsi" w:cstheme="minorHAnsi"/>
          <w:sz w:val="22"/>
          <w:szCs w:val="22"/>
        </w:rPr>
        <w:t>ms and program graduates’. The ‘</w:t>
      </w:r>
      <w:r w:rsidRPr="00C012FC">
        <w:rPr>
          <w:rFonts w:asciiTheme="minorHAnsi" w:hAnsiTheme="minorHAnsi" w:cstheme="minorHAnsi"/>
          <w:sz w:val="22"/>
          <w:szCs w:val="22"/>
        </w:rPr>
        <w:t>churn’ in ITE in England in recent years has not provided a stable context for robust evaluation.</w:t>
      </w:r>
      <w:r w:rsidR="00400B9A" w:rsidRPr="00C012FC">
        <w:rPr>
          <w:rFonts w:asciiTheme="minorHAnsi" w:hAnsiTheme="minorHAnsi" w:cstheme="minorHAnsi"/>
          <w:sz w:val="22"/>
          <w:szCs w:val="22"/>
        </w:rPr>
        <w:t xml:space="preserve"> </w:t>
      </w:r>
      <w:r w:rsidR="00E87C6F" w:rsidRPr="00C012FC">
        <w:rPr>
          <w:rFonts w:asciiTheme="minorHAnsi" w:hAnsiTheme="minorHAnsi" w:cstheme="minorHAnsi"/>
          <w:sz w:val="22"/>
          <w:szCs w:val="22"/>
        </w:rPr>
        <w:t>The ITE sector in England must respond</w:t>
      </w:r>
      <w:r w:rsidR="0056210D" w:rsidRPr="00C012FC">
        <w:rPr>
          <w:rFonts w:asciiTheme="minorHAnsi" w:hAnsiTheme="minorHAnsi" w:cstheme="minorHAnsi"/>
          <w:sz w:val="22"/>
          <w:szCs w:val="22"/>
        </w:rPr>
        <w:t xml:space="preserve"> to differing demands from different official bodies (NCTL, DfE, Ofsted) providing limited periods of stability.</w:t>
      </w:r>
      <w:r w:rsidR="00BE57A8" w:rsidRPr="00C012FC">
        <w:rPr>
          <w:rFonts w:asciiTheme="minorHAnsi" w:hAnsiTheme="minorHAnsi" w:cstheme="minorHAnsi"/>
          <w:sz w:val="22"/>
          <w:szCs w:val="22"/>
        </w:rPr>
        <w:t xml:space="preserve"> </w:t>
      </w:r>
      <w:r w:rsidR="00E87C6F" w:rsidRPr="00C012FC">
        <w:rPr>
          <w:rFonts w:asciiTheme="minorHAnsi" w:hAnsiTheme="minorHAnsi" w:cstheme="minorHAnsi"/>
          <w:sz w:val="22"/>
          <w:szCs w:val="22"/>
        </w:rPr>
        <w:t xml:space="preserve">The impact of this on providers is one of needing </w:t>
      </w:r>
      <w:r w:rsidR="00083405" w:rsidRPr="00C012FC">
        <w:rPr>
          <w:rFonts w:asciiTheme="minorHAnsi" w:hAnsiTheme="minorHAnsi" w:cstheme="minorHAnsi"/>
          <w:sz w:val="22"/>
          <w:szCs w:val="22"/>
        </w:rPr>
        <w:t xml:space="preserve">to </w:t>
      </w:r>
      <w:r w:rsidR="00E87C6F" w:rsidRPr="00C012FC">
        <w:rPr>
          <w:rFonts w:asciiTheme="minorHAnsi" w:hAnsiTheme="minorHAnsi" w:cstheme="minorHAnsi"/>
          <w:sz w:val="22"/>
          <w:szCs w:val="22"/>
        </w:rPr>
        <w:t>navigate a complex landscape in which change is a constant feature and in which evaluation and review of provision is less valuable when</w:t>
      </w:r>
      <w:r w:rsidR="00083405" w:rsidRPr="00C012FC">
        <w:rPr>
          <w:rFonts w:asciiTheme="minorHAnsi" w:hAnsiTheme="minorHAnsi" w:cstheme="minorHAnsi"/>
          <w:sz w:val="22"/>
          <w:szCs w:val="22"/>
        </w:rPr>
        <w:t xml:space="preserve"> change is instigated </w:t>
      </w:r>
      <w:r w:rsidR="00CD0BD1" w:rsidRPr="00C012FC">
        <w:rPr>
          <w:rFonts w:asciiTheme="minorHAnsi" w:hAnsiTheme="minorHAnsi" w:cstheme="minorHAnsi"/>
          <w:sz w:val="22"/>
          <w:szCs w:val="22"/>
        </w:rPr>
        <w:t xml:space="preserve">with such regularity and such speed </w:t>
      </w:r>
      <w:r w:rsidR="00083405" w:rsidRPr="00C012FC">
        <w:rPr>
          <w:rFonts w:asciiTheme="minorHAnsi" w:hAnsiTheme="minorHAnsi" w:cstheme="minorHAnsi"/>
          <w:sz w:val="22"/>
          <w:szCs w:val="22"/>
        </w:rPr>
        <w:t>at policy level</w:t>
      </w:r>
      <w:r w:rsidR="00E87C6F" w:rsidRPr="00C012FC">
        <w:rPr>
          <w:rFonts w:asciiTheme="minorHAnsi" w:hAnsiTheme="minorHAnsi" w:cstheme="minorHAnsi"/>
          <w:sz w:val="22"/>
          <w:szCs w:val="22"/>
        </w:rPr>
        <w:t xml:space="preserve"> </w:t>
      </w:r>
      <w:r w:rsidR="00CD0BD1" w:rsidRPr="00C012FC">
        <w:rPr>
          <w:rFonts w:asciiTheme="minorHAnsi" w:hAnsiTheme="minorHAnsi" w:cstheme="minorHAnsi"/>
          <w:sz w:val="22"/>
          <w:szCs w:val="22"/>
        </w:rPr>
        <w:t>(Wright</w:t>
      </w:r>
      <w:r w:rsidR="00CE1191">
        <w:rPr>
          <w:rFonts w:asciiTheme="minorHAnsi" w:hAnsiTheme="minorHAnsi" w:cstheme="minorHAnsi"/>
          <w:sz w:val="22"/>
          <w:szCs w:val="22"/>
        </w:rPr>
        <w:t>,</w:t>
      </w:r>
      <w:r w:rsidR="00CD0BD1" w:rsidRPr="00C012FC">
        <w:rPr>
          <w:rFonts w:asciiTheme="minorHAnsi" w:hAnsiTheme="minorHAnsi" w:cstheme="minorHAnsi"/>
          <w:sz w:val="22"/>
          <w:szCs w:val="22"/>
        </w:rPr>
        <w:t xml:space="preserve"> 2012).</w:t>
      </w:r>
      <w:r w:rsidR="00C012FC">
        <w:rPr>
          <w:rFonts w:asciiTheme="minorHAnsi" w:hAnsiTheme="minorHAnsi" w:cstheme="minorHAnsi"/>
          <w:sz w:val="22"/>
          <w:szCs w:val="22"/>
        </w:rPr>
        <w:t xml:space="preserve"> </w:t>
      </w:r>
      <w:r w:rsidR="00450467">
        <w:rPr>
          <w:rFonts w:asciiTheme="minorHAnsi" w:hAnsiTheme="minorHAnsi" w:cs="AGaramondPro-Regular"/>
          <w:sz w:val="22"/>
          <w:szCs w:val="22"/>
          <w:lang w:val="en-GB"/>
        </w:rPr>
        <w:t xml:space="preserve">Promotion of an increasingly </w:t>
      </w:r>
      <w:r w:rsidR="00C012FC" w:rsidRPr="00C012FC">
        <w:rPr>
          <w:rFonts w:asciiTheme="minorHAnsi" w:hAnsiTheme="minorHAnsi" w:cs="AGaramondPro-Regular"/>
          <w:sz w:val="22"/>
          <w:szCs w:val="22"/>
          <w:lang w:val="en-GB"/>
        </w:rPr>
        <w:t>diverse market, particularly in times of challenging recruitment, leaves providers vulnerable to financial non-viability. This is most dangerous for those university departments of education where teacher development is their</w:t>
      </w:r>
      <w:r w:rsidR="00450467">
        <w:rPr>
          <w:rFonts w:asciiTheme="minorHAnsi" w:hAnsiTheme="minorHAnsi" w:cs="AGaramondPro-Regular"/>
          <w:sz w:val="22"/>
          <w:szCs w:val="22"/>
          <w:lang w:val="en-GB"/>
        </w:rPr>
        <w:t xml:space="preserve"> core business. As HEIs </w:t>
      </w:r>
      <w:r w:rsidR="00C012FC" w:rsidRPr="00C012FC">
        <w:rPr>
          <w:rFonts w:asciiTheme="minorHAnsi" w:hAnsiTheme="minorHAnsi" w:cs="AGaramondPro-Regular"/>
          <w:sz w:val="22"/>
          <w:szCs w:val="22"/>
          <w:lang w:val="en-GB"/>
        </w:rPr>
        <w:t xml:space="preserve">provide the majority of training </w:t>
      </w:r>
      <w:r w:rsidR="00CE1191" w:rsidRPr="00C012FC">
        <w:rPr>
          <w:rFonts w:asciiTheme="minorHAnsi" w:hAnsiTheme="minorHAnsi" w:cs="AGaramondPro-Regular"/>
          <w:sz w:val="22"/>
          <w:szCs w:val="22"/>
          <w:lang w:val="en-GB"/>
        </w:rPr>
        <w:t>places,</w:t>
      </w:r>
      <w:r w:rsidR="00C012FC" w:rsidRPr="00C012FC">
        <w:rPr>
          <w:rFonts w:asciiTheme="minorHAnsi" w:hAnsiTheme="minorHAnsi" w:cs="AGaramondPro-Regular"/>
          <w:sz w:val="22"/>
          <w:szCs w:val="22"/>
          <w:lang w:val="en-GB"/>
        </w:rPr>
        <w:t xml:space="preserve"> further de-stabilisation presents</w:t>
      </w:r>
      <w:r w:rsidR="00450467">
        <w:rPr>
          <w:rFonts w:asciiTheme="minorHAnsi" w:hAnsiTheme="minorHAnsi" w:cs="AGaramondPro-Regular"/>
          <w:sz w:val="22"/>
          <w:szCs w:val="22"/>
          <w:lang w:val="en-GB"/>
        </w:rPr>
        <w:t xml:space="preserve"> a particularly high-</w:t>
      </w:r>
      <w:r w:rsidR="00C012FC" w:rsidRPr="00C012FC">
        <w:rPr>
          <w:rFonts w:asciiTheme="minorHAnsi" w:hAnsiTheme="minorHAnsi" w:cs="AGaramondPro-Regular"/>
          <w:sz w:val="22"/>
          <w:szCs w:val="22"/>
          <w:lang w:val="en-GB"/>
        </w:rPr>
        <w:t xml:space="preserve">risk strategy. </w:t>
      </w:r>
    </w:p>
    <w:p w:rsidR="004C4F16" w:rsidRPr="004C4F16" w:rsidRDefault="004C4F16" w:rsidP="004C4F16">
      <w:pPr>
        <w:autoSpaceDE w:val="0"/>
        <w:autoSpaceDN w:val="0"/>
        <w:adjustRightInd w:val="0"/>
        <w:jc w:val="both"/>
        <w:rPr>
          <w:rFonts w:asciiTheme="minorHAnsi" w:hAnsiTheme="minorHAnsi" w:cs="AGaramondPro-Regular"/>
          <w:sz w:val="16"/>
          <w:szCs w:val="16"/>
          <w:lang w:val="en-GB"/>
        </w:rPr>
      </w:pPr>
    </w:p>
    <w:p w:rsidR="00450467" w:rsidRPr="00450467" w:rsidRDefault="00450467" w:rsidP="004C4F16">
      <w:pPr>
        <w:autoSpaceDE w:val="0"/>
        <w:autoSpaceDN w:val="0"/>
        <w:adjustRightInd w:val="0"/>
        <w:jc w:val="both"/>
        <w:rPr>
          <w:rFonts w:asciiTheme="minorHAnsi" w:hAnsiTheme="minorHAnsi" w:cstheme="minorHAnsi"/>
          <w:color w:val="auto"/>
          <w:sz w:val="22"/>
          <w:szCs w:val="22"/>
        </w:rPr>
      </w:pPr>
      <w:r w:rsidRPr="00450467">
        <w:rPr>
          <w:rFonts w:asciiTheme="minorHAnsi" w:hAnsiTheme="minorHAnsi" w:cstheme="minorHAnsi"/>
          <w:b/>
          <w:color w:val="auto"/>
          <w:sz w:val="22"/>
          <w:szCs w:val="22"/>
        </w:rPr>
        <w:t xml:space="preserve">Teacher Recruitment </w:t>
      </w:r>
      <w:r w:rsidR="00750388">
        <w:rPr>
          <w:rFonts w:asciiTheme="minorHAnsi" w:hAnsiTheme="minorHAnsi" w:cstheme="minorHAnsi"/>
          <w:b/>
          <w:color w:val="auto"/>
          <w:sz w:val="22"/>
          <w:szCs w:val="22"/>
        </w:rPr>
        <w:t>for</w:t>
      </w:r>
      <w:r w:rsidRPr="00450467">
        <w:rPr>
          <w:rFonts w:asciiTheme="minorHAnsi" w:hAnsiTheme="minorHAnsi" w:cstheme="minorHAnsi"/>
          <w:b/>
          <w:color w:val="auto"/>
          <w:sz w:val="22"/>
          <w:szCs w:val="22"/>
        </w:rPr>
        <w:t xml:space="preserve"> Teacher Quality</w:t>
      </w:r>
    </w:p>
    <w:p w:rsidR="00450467" w:rsidRDefault="00450467" w:rsidP="004C4F16">
      <w:pPr>
        <w:autoSpaceDE w:val="0"/>
        <w:autoSpaceDN w:val="0"/>
        <w:adjustRightInd w:val="0"/>
        <w:jc w:val="both"/>
        <w:rPr>
          <w:rFonts w:asciiTheme="minorHAnsi" w:hAnsiTheme="minorHAnsi" w:cstheme="minorHAnsi"/>
          <w:sz w:val="22"/>
          <w:szCs w:val="22"/>
        </w:rPr>
      </w:pPr>
      <w:r w:rsidRPr="00C012FC">
        <w:rPr>
          <w:rFonts w:asciiTheme="minorHAnsi" w:hAnsiTheme="minorHAnsi" w:cstheme="minorHAnsi"/>
          <w:sz w:val="22"/>
          <w:szCs w:val="22"/>
        </w:rPr>
        <w:t>Workforce planning and recruitment strategies have not proven effective in matching supply and demand. Incentives have produced ‘bursary tourism’, with insufficient evidence of longer-term effects on retention and effectiveness. Allocation mechani</w:t>
      </w:r>
      <w:r>
        <w:rPr>
          <w:rFonts w:asciiTheme="minorHAnsi" w:hAnsiTheme="minorHAnsi" w:cstheme="minorHAnsi"/>
          <w:sz w:val="22"/>
          <w:szCs w:val="22"/>
        </w:rPr>
        <w:t>sms (before 2017) incentivis</w:t>
      </w:r>
      <w:r w:rsidRPr="00C012FC">
        <w:rPr>
          <w:rFonts w:asciiTheme="minorHAnsi" w:hAnsiTheme="minorHAnsi" w:cstheme="minorHAnsi"/>
          <w:sz w:val="22"/>
          <w:szCs w:val="22"/>
        </w:rPr>
        <w:t xml:space="preserve">ed providers to recruit quickly (before national numbers were capped) rather than focus on a selection process to assure high quality entrants. The current allocation methodology of unlimited recruitment in all but one Secondary subject area alongside a 30% fall in applications (UCAS 2018) has led to a return to rapid recruitment as providers recognise the need to fill allocations and maintain financial viability from a shrinking pool of applicants. </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450467" w:rsidRDefault="00450467" w:rsidP="004C4F16">
      <w:pPr>
        <w:autoSpaceDE w:val="0"/>
        <w:autoSpaceDN w:val="0"/>
        <w:adjustRightInd w:val="0"/>
        <w:jc w:val="both"/>
        <w:rPr>
          <w:rFonts w:asciiTheme="minorHAnsi" w:hAnsiTheme="minorHAnsi" w:cstheme="minorHAnsi"/>
          <w:sz w:val="22"/>
          <w:szCs w:val="22"/>
        </w:rPr>
      </w:pPr>
      <w:r w:rsidRPr="00C012FC">
        <w:rPr>
          <w:rFonts w:asciiTheme="minorHAnsi" w:hAnsiTheme="minorHAnsi" w:cstheme="minorHAnsi"/>
          <w:sz w:val="22"/>
          <w:szCs w:val="22"/>
        </w:rPr>
        <w:t xml:space="preserve">Teacher shortages are likely to increase the number of teachers teaching out-of-field i.e. outside their area of qualification. Scotland registers teachers by curriculum area and stage, so out-of-field (non-specialist) work is reduced (although there are remaining subject and regional pressures). An example of this has been seen in 2017/18 in England with the introduction of a new route (PE with EBACC) designed to address teacher shortages in EBACC subjects which will see out-of-field teaching as a deliberate element of this as candidates need only have an A level in an EBACC subject to be considered qualified for the route. </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450467" w:rsidRDefault="00450467" w:rsidP="004C4F16">
      <w:pPr>
        <w:autoSpaceDE w:val="0"/>
        <w:autoSpaceDN w:val="0"/>
        <w:adjustRightInd w:val="0"/>
        <w:jc w:val="both"/>
        <w:rPr>
          <w:rFonts w:asciiTheme="minorHAnsi" w:hAnsiTheme="minorHAnsi" w:cs="MyriadPro-Regular"/>
          <w:sz w:val="22"/>
          <w:szCs w:val="22"/>
          <w:lang w:val="en-GB"/>
        </w:rPr>
      </w:pPr>
      <w:r w:rsidRPr="00C012FC">
        <w:rPr>
          <w:rFonts w:asciiTheme="minorHAnsi" w:hAnsiTheme="minorHAnsi" w:cstheme="minorHAnsi"/>
          <w:sz w:val="22"/>
          <w:szCs w:val="22"/>
        </w:rPr>
        <w:t>Teacher supply should not be reduced to</w:t>
      </w:r>
      <w:r w:rsidRPr="00C012FC">
        <w:rPr>
          <w:rFonts w:asciiTheme="minorHAnsi" w:hAnsiTheme="minorHAnsi" w:cstheme="minorHAnsi"/>
          <w:i/>
          <w:sz w:val="22"/>
          <w:szCs w:val="22"/>
        </w:rPr>
        <w:t xml:space="preserve"> getting</w:t>
      </w:r>
      <w:r w:rsidRPr="00C012FC">
        <w:rPr>
          <w:rFonts w:asciiTheme="minorHAnsi" w:hAnsiTheme="minorHAnsi" w:cstheme="minorHAnsi"/>
          <w:sz w:val="22"/>
          <w:szCs w:val="22"/>
        </w:rPr>
        <w:t xml:space="preserve"> teachers (recruitment) but</w:t>
      </w:r>
      <w:r w:rsidRPr="00C012FC">
        <w:rPr>
          <w:rFonts w:asciiTheme="minorHAnsi" w:hAnsiTheme="minorHAnsi" w:cstheme="minorHAnsi"/>
          <w:i/>
          <w:sz w:val="22"/>
          <w:szCs w:val="22"/>
        </w:rPr>
        <w:t xml:space="preserve"> developing</w:t>
      </w:r>
      <w:r w:rsidRPr="00C012FC">
        <w:rPr>
          <w:rFonts w:asciiTheme="minorHAnsi" w:hAnsiTheme="minorHAnsi" w:cstheme="minorHAnsi"/>
          <w:sz w:val="22"/>
          <w:szCs w:val="22"/>
        </w:rPr>
        <w:t xml:space="preserve"> teachers of quality, including opportunities for lead practitioners to become mentors, curriculum specialists or school leaders. Countries with effective systems for teacher development view teaching</w:t>
      </w:r>
      <w:r w:rsidR="00102982">
        <w:rPr>
          <w:rFonts w:asciiTheme="minorHAnsi" w:hAnsiTheme="minorHAnsi" w:cstheme="minorHAnsi"/>
          <w:sz w:val="22"/>
          <w:szCs w:val="22"/>
        </w:rPr>
        <w:t xml:space="preserve"> as,</w:t>
      </w:r>
      <w:r w:rsidRPr="00C012FC">
        <w:rPr>
          <w:rFonts w:asciiTheme="minorHAnsi" w:hAnsiTheme="minorHAnsi" w:cstheme="minorHAnsi"/>
          <w:sz w:val="22"/>
          <w:szCs w:val="22"/>
        </w:rPr>
        <w:t xml:space="preserve"> ‘</w:t>
      </w:r>
      <w:r w:rsidRPr="00C012FC">
        <w:rPr>
          <w:rFonts w:asciiTheme="minorHAnsi" w:hAnsiTheme="minorHAnsi" w:cs="MyriadPro-Regular"/>
          <w:sz w:val="22"/>
          <w:szCs w:val="22"/>
          <w:lang w:val="en-GB"/>
        </w:rPr>
        <w:t xml:space="preserve">a long-term profession where people can grow into leadership positions and develop expertise over time’ (Darling-Hammond 2017: 292). Providers in England have often been judged on the basis of filling training places, incentivising the </w:t>
      </w:r>
      <w:r w:rsidRPr="00C012FC">
        <w:rPr>
          <w:rFonts w:asciiTheme="minorHAnsi" w:hAnsiTheme="minorHAnsi" w:cs="MyriadPro-Regular"/>
          <w:i/>
          <w:sz w:val="22"/>
          <w:szCs w:val="22"/>
          <w:lang w:val="en-GB"/>
        </w:rPr>
        <w:t xml:space="preserve">getting </w:t>
      </w:r>
      <w:r w:rsidRPr="00C012FC">
        <w:rPr>
          <w:rFonts w:asciiTheme="minorHAnsi" w:hAnsiTheme="minorHAnsi" w:cs="MyriadPro-Regular"/>
          <w:sz w:val="22"/>
          <w:szCs w:val="22"/>
          <w:lang w:val="en-GB"/>
        </w:rPr>
        <w:t xml:space="preserve">over the developing of teachers – the most recent example of this is a letter from the Schools Minister guiding providers toward a revision of recruitment in order to reject less often. </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C012FC" w:rsidRPr="00450467" w:rsidRDefault="00450467" w:rsidP="004C4F16">
      <w:pPr>
        <w:autoSpaceDE w:val="0"/>
        <w:autoSpaceDN w:val="0"/>
        <w:adjustRightInd w:val="0"/>
        <w:jc w:val="both"/>
        <w:rPr>
          <w:rFonts w:asciiTheme="minorHAnsi" w:hAnsiTheme="minorHAnsi" w:cstheme="minorHAnsi"/>
          <w:b/>
          <w:color w:val="auto"/>
          <w:sz w:val="22"/>
          <w:szCs w:val="22"/>
        </w:rPr>
      </w:pPr>
      <w:r w:rsidRPr="00450467">
        <w:rPr>
          <w:rFonts w:asciiTheme="minorHAnsi" w:hAnsiTheme="minorHAnsi" w:cstheme="minorHAnsi"/>
          <w:b/>
          <w:color w:val="auto"/>
          <w:sz w:val="22"/>
          <w:szCs w:val="22"/>
        </w:rPr>
        <w:t xml:space="preserve">Sustained and Embedded </w:t>
      </w:r>
      <w:r w:rsidR="00C012FC" w:rsidRPr="00450467">
        <w:rPr>
          <w:rFonts w:asciiTheme="minorHAnsi" w:hAnsiTheme="minorHAnsi" w:cstheme="minorHAnsi"/>
          <w:b/>
          <w:color w:val="auto"/>
          <w:sz w:val="22"/>
          <w:szCs w:val="22"/>
        </w:rPr>
        <w:t xml:space="preserve">Professional Learning &amp; Development </w:t>
      </w:r>
    </w:p>
    <w:p w:rsidR="00450467" w:rsidRDefault="00450467" w:rsidP="004C4F16">
      <w:pPr>
        <w:jc w:val="both"/>
        <w:rPr>
          <w:rFonts w:asciiTheme="minorHAnsi" w:hAnsiTheme="minorHAnsi" w:cstheme="minorHAnsi"/>
          <w:sz w:val="22"/>
          <w:szCs w:val="22"/>
        </w:rPr>
      </w:pPr>
      <w:r w:rsidRPr="00C012FC">
        <w:rPr>
          <w:rFonts w:asciiTheme="minorHAnsi" w:hAnsiTheme="minorHAnsi" w:cstheme="minorHAnsi"/>
          <w:sz w:val="22"/>
          <w:szCs w:val="22"/>
        </w:rPr>
        <w:t xml:space="preserve">Deregulation of teacher education providers is not </w:t>
      </w:r>
      <w:r w:rsidRPr="00C012FC">
        <w:rPr>
          <w:rFonts w:asciiTheme="minorHAnsi" w:hAnsiTheme="minorHAnsi" w:cstheme="minorHAnsi"/>
          <w:i/>
          <w:sz w:val="22"/>
          <w:szCs w:val="22"/>
        </w:rPr>
        <w:t>the</w:t>
      </w:r>
      <w:r w:rsidRPr="00C012FC">
        <w:rPr>
          <w:rFonts w:asciiTheme="minorHAnsi" w:hAnsiTheme="minorHAnsi" w:cstheme="minorHAnsi"/>
          <w:sz w:val="22"/>
          <w:szCs w:val="22"/>
        </w:rPr>
        <w:t xml:space="preserve"> answer to the question of teacher quality – no high-achieving country is doing this.  High-achieving countries are characterised by rigorous q</w:t>
      </w:r>
      <w:r w:rsidR="00DB723C">
        <w:rPr>
          <w:rFonts w:asciiTheme="minorHAnsi" w:hAnsiTheme="minorHAnsi" w:cstheme="minorHAnsi"/>
          <w:sz w:val="22"/>
          <w:szCs w:val="22"/>
        </w:rPr>
        <w:t>uality assurance arrangements across</w:t>
      </w:r>
      <w:r w:rsidRPr="00C012FC">
        <w:rPr>
          <w:rFonts w:asciiTheme="minorHAnsi" w:hAnsiTheme="minorHAnsi" w:cstheme="minorHAnsi"/>
          <w:sz w:val="22"/>
          <w:szCs w:val="22"/>
        </w:rPr>
        <w:t xml:space="preserve"> three key stages in the preparation of teachers: 1) recruitment and entry standards; 2) the accreditation of teacher education program</w:t>
      </w:r>
      <w:r w:rsidR="00DB723C">
        <w:rPr>
          <w:rFonts w:asciiTheme="minorHAnsi" w:hAnsiTheme="minorHAnsi" w:cstheme="minorHAnsi"/>
          <w:sz w:val="22"/>
          <w:szCs w:val="22"/>
        </w:rPr>
        <w:t>me</w:t>
      </w:r>
      <w:r w:rsidRPr="00C012FC">
        <w:rPr>
          <w:rFonts w:asciiTheme="minorHAnsi" w:hAnsiTheme="minorHAnsi" w:cstheme="minorHAnsi"/>
          <w:sz w:val="22"/>
          <w:szCs w:val="22"/>
        </w:rPr>
        <w:t>s; and 3) transition and full entry to the profession (Ingersoll et al., 2014: xvi), with an explicit focus on sustained teacher learning and development. As Gore et al. (2017: 99) note, ‘</w:t>
      </w:r>
      <w:r w:rsidRPr="00C012FC">
        <w:rPr>
          <w:rFonts w:asciiTheme="minorHAnsi" w:hAnsiTheme="minorHAnsi" w:cstheme="minorHAnsi"/>
          <w:i/>
          <w:sz w:val="22"/>
          <w:szCs w:val="22"/>
        </w:rPr>
        <w:t>evaluating</w:t>
      </w:r>
      <w:r w:rsidRPr="00C012FC">
        <w:rPr>
          <w:rFonts w:asciiTheme="minorHAnsi" w:hAnsiTheme="minorHAnsi" w:cstheme="minorHAnsi"/>
          <w:sz w:val="22"/>
          <w:szCs w:val="22"/>
        </w:rPr>
        <w:t xml:space="preserve"> teaching quality will have limited impact on </w:t>
      </w:r>
      <w:r w:rsidRPr="00C012FC">
        <w:rPr>
          <w:rFonts w:asciiTheme="minorHAnsi" w:hAnsiTheme="minorHAnsi" w:cstheme="minorHAnsi"/>
          <w:i/>
          <w:sz w:val="22"/>
          <w:szCs w:val="22"/>
        </w:rPr>
        <w:t>improving</w:t>
      </w:r>
      <w:r w:rsidRPr="00C012FC">
        <w:rPr>
          <w:rFonts w:asciiTheme="minorHAnsi" w:hAnsiTheme="minorHAnsi" w:cstheme="minorHAnsi"/>
          <w:sz w:val="22"/>
          <w:szCs w:val="22"/>
        </w:rPr>
        <w:t xml:space="preserve"> teaching quality unless linked to an effective approach to professional development’. </w:t>
      </w:r>
      <w:r w:rsidR="00DB723C">
        <w:rPr>
          <w:rFonts w:asciiTheme="minorHAnsi" w:hAnsiTheme="minorHAnsi" w:cstheme="minorHAnsi"/>
          <w:sz w:val="22"/>
          <w:szCs w:val="22"/>
        </w:rPr>
        <w:t xml:space="preserve">This </w:t>
      </w:r>
      <w:r w:rsidR="00102982">
        <w:rPr>
          <w:rFonts w:asciiTheme="minorHAnsi" w:hAnsiTheme="minorHAnsi" w:cstheme="minorHAnsi"/>
          <w:sz w:val="22"/>
          <w:szCs w:val="22"/>
        </w:rPr>
        <w:t xml:space="preserve">must </w:t>
      </w:r>
      <w:r w:rsidR="00CE1191">
        <w:rPr>
          <w:rFonts w:asciiTheme="minorHAnsi" w:hAnsiTheme="minorHAnsi" w:cstheme="minorHAnsi"/>
          <w:sz w:val="22"/>
          <w:szCs w:val="22"/>
        </w:rPr>
        <w:t xml:space="preserve">also </w:t>
      </w:r>
      <w:r w:rsidR="00102982">
        <w:rPr>
          <w:rFonts w:asciiTheme="minorHAnsi" w:hAnsiTheme="minorHAnsi" w:cstheme="minorHAnsi"/>
          <w:sz w:val="22"/>
          <w:szCs w:val="22"/>
        </w:rPr>
        <w:t>include</w:t>
      </w:r>
      <w:r w:rsidR="00DB723C">
        <w:rPr>
          <w:rFonts w:asciiTheme="minorHAnsi" w:hAnsiTheme="minorHAnsi" w:cstheme="minorHAnsi"/>
          <w:sz w:val="22"/>
          <w:szCs w:val="22"/>
        </w:rPr>
        <w:t xml:space="preserve"> prioritising the professional development of teacher educators (European Commission, 2013).</w:t>
      </w:r>
    </w:p>
    <w:p w:rsidR="004C4F16" w:rsidRPr="004C4F16" w:rsidRDefault="004C4F16" w:rsidP="004C4F16">
      <w:pPr>
        <w:jc w:val="both"/>
        <w:rPr>
          <w:rFonts w:asciiTheme="minorHAnsi" w:hAnsiTheme="minorHAnsi" w:cstheme="minorHAnsi"/>
          <w:sz w:val="16"/>
          <w:szCs w:val="16"/>
        </w:rPr>
      </w:pPr>
    </w:p>
    <w:p w:rsidR="00A11F62" w:rsidRDefault="0073291C" w:rsidP="004C4F16">
      <w:pPr>
        <w:autoSpaceDE w:val="0"/>
        <w:autoSpaceDN w:val="0"/>
        <w:adjustRightInd w:val="0"/>
        <w:jc w:val="both"/>
        <w:rPr>
          <w:rFonts w:asciiTheme="minorHAnsi" w:hAnsiTheme="minorHAnsi" w:cs="MyriadPro-Regular"/>
          <w:sz w:val="22"/>
          <w:szCs w:val="22"/>
          <w:lang w:val="en-GB"/>
        </w:rPr>
      </w:pPr>
      <w:r w:rsidRPr="00C012FC">
        <w:rPr>
          <w:rFonts w:asciiTheme="minorHAnsi" w:hAnsiTheme="minorHAnsi" w:cstheme="minorHAnsi"/>
          <w:sz w:val="22"/>
          <w:szCs w:val="22"/>
        </w:rPr>
        <w:t>Providers in h</w:t>
      </w:r>
      <w:r w:rsidR="00236702" w:rsidRPr="00C012FC">
        <w:rPr>
          <w:rFonts w:asciiTheme="minorHAnsi" w:hAnsiTheme="minorHAnsi" w:cstheme="minorHAnsi"/>
          <w:sz w:val="22"/>
          <w:szCs w:val="22"/>
        </w:rPr>
        <w:t>igh-</w:t>
      </w:r>
      <w:r w:rsidR="001E3D0C" w:rsidRPr="00C012FC">
        <w:rPr>
          <w:rFonts w:asciiTheme="minorHAnsi" w:hAnsiTheme="minorHAnsi" w:cstheme="minorHAnsi"/>
          <w:sz w:val="22"/>
          <w:szCs w:val="22"/>
        </w:rPr>
        <w:t xml:space="preserve">performing systems </w:t>
      </w:r>
      <w:r w:rsidRPr="00C012FC">
        <w:rPr>
          <w:rFonts w:asciiTheme="minorHAnsi" w:hAnsiTheme="minorHAnsi" w:cstheme="minorHAnsi"/>
          <w:sz w:val="22"/>
          <w:szCs w:val="22"/>
        </w:rPr>
        <w:t xml:space="preserve">have extended the period of professional preparation </w:t>
      </w:r>
      <w:r w:rsidR="00CE1191">
        <w:rPr>
          <w:rFonts w:asciiTheme="minorHAnsi" w:hAnsiTheme="minorHAnsi" w:cstheme="minorHAnsi"/>
          <w:sz w:val="22"/>
          <w:szCs w:val="22"/>
        </w:rPr>
        <w:t xml:space="preserve">with </w:t>
      </w:r>
      <w:r w:rsidR="001E3D0C" w:rsidRPr="00C012FC">
        <w:rPr>
          <w:rFonts w:asciiTheme="minorHAnsi" w:hAnsiTheme="minorHAnsi" w:cstheme="minorHAnsi"/>
          <w:sz w:val="22"/>
          <w:szCs w:val="22"/>
        </w:rPr>
        <w:t>move</w:t>
      </w:r>
      <w:r w:rsidRPr="00C012FC">
        <w:rPr>
          <w:rFonts w:asciiTheme="minorHAnsi" w:hAnsiTheme="minorHAnsi" w:cstheme="minorHAnsi"/>
          <w:sz w:val="22"/>
          <w:szCs w:val="22"/>
        </w:rPr>
        <w:t>s</w:t>
      </w:r>
      <w:r w:rsidR="001E3D0C" w:rsidRPr="00C012FC">
        <w:rPr>
          <w:rFonts w:asciiTheme="minorHAnsi" w:hAnsiTheme="minorHAnsi" w:cstheme="minorHAnsi"/>
          <w:sz w:val="22"/>
          <w:szCs w:val="22"/>
        </w:rPr>
        <w:t xml:space="preserve"> towards two-year </w:t>
      </w:r>
      <w:r w:rsidR="00DB723C">
        <w:rPr>
          <w:rFonts w:asciiTheme="minorHAnsi" w:hAnsiTheme="minorHAnsi" w:cstheme="minorHAnsi"/>
          <w:sz w:val="22"/>
          <w:szCs w:val="22"/>
        </w:rPr>
        <w:t xml:space="preserve">qualifying </w:t>
      </w:r>
      <w:r w:rsidR="001E3D0C" w:rsidRPr="00C012FC">
        <w:rPr>
          <w:rFonts w:asciiTheme="minorHAnsi" w:hAnsiTheme="minorHAnsi" w:cstheme="minorHAnsi"/>
          <w:sz w:val="22"/>
          <w:szCs w:val="22"/>
        </w:rPr>
        <w:t xml:space="preserve">programmes such as the </w:t>
      </w:r>
      <w:r w:rsidR="00000C89" w:rsidRPr="00C012FC">
        <w:rPr>
          <w:rFonts w:asciiTheme="minorHAnsi" w:hAnsiTheme="minorHAnsi" w:cstheme="minorHAnsi"/>
          <w:sz w:val="22"/>
          <w:szCs w:val="22"/>
        </w:rPr>
        <w:t>Master of Teaching at</w:t>
      </w:r>
      <w:r w:rsidR="007827BE" w:rsidRPr="00C012FC">
        <w:rPr>
          <w:rFonts w:asciiTheme="minorHAnsi" w:hAnsiTheme="minorHAnsi" w:cstheme="minorHAnsi"/>
          <w:sz w:val="22"/>
          <w:szCs w:val="22"/>
        </w:rPr>
        <w:t xml:space="preserve"> Toronto and </w:t>
      </w:r>
      <w:r w:rsidRPr="00C012FC">
        <w:rPr>
          <w:rFonts w:asciiTheme="minorHAnsi" w:hAnsiTheme="minorHAnsi" w:cstheme="minorHAnsi"/>
          <w:sz w:val="22"/>
          <w:szCs w:val="22"/>
        </w:rPr>
        <w:t>Melbourne</w:t>
      </w:r>
      <w:r w:rsidR="00DB723C">
        <w:rPr>
          <w:rFonts w:asciiTheme="minorHAnsi" w:hAnsiTheme="minorHAnsi" w:cstheme="minorHAnsi"/>
          <w:sz w:val="22"/>
          <w:szCs w:val="22"/>
        </w:rPr>
        <w:t xml:space="preserve">, and the </w:t>
      </w:r>
      <w:r w:rsidR="00DB723C" w:rsidRPr="00DB723C">
        <w:rPr>
          <w:rFonts w:asciiTheme="minorHAnsi" w:hAnsiTheme="minorHAnsi" w:cstheme="minorHAnsi"/>
          <w:sz w:val="22"/>
          <w:szCs w:val="22"/>
        </w:rPr>
        <w:t>Pr</w:t>
      </w:r>
      <w:r w:rsidR="00DB723C">
        <w:rPr>
          <w:rFonts w:asciiTheme="minorHAnsi" w:hAnsiTheme="minorHAnsi" w:cstheme="minorHAnsi"/>
          <w:sz w:val="22"/>
          <w:szCs w:val="22"/>
        </w:rPr>
        <w:t xml:space="preserve">ofessional Masters in Education introduced in Ireland in 2017. </w:t>
      </w:r>
      <w:r w:rsidRPr="00C012FC">
        <w:rPr>
          <w:rFonts w:asciiTheme="minorHAnsi" w:hAnsiTheme="minorHAnsi" w:cstheme="minorHAnsi"/>
          <w:sz w:val="22"/>
          <w:szCs w:val="22"/>
        </w:rPr>
        <w:t>Comparable developments in the UK include</w:t>
      </w:r>
      <w:r w:rsidR="001E3D0C" w:rsidRPr="00C012FC">
        <w:rPr>
          <w:rFonts w:asciiTheme="minorHAnsi" w:hAnsiTheme="minorHAnsi" w:cstheme="minorHAnsi"/>
          <w:sz w:val="22"/>
          <w:szCs w:val="22"/>
        </w:rPr>
        <w:t xml:space="preserve"> the Masters </w:t>
      </w:r>
      <w:r w:rsidRPr="00C012FC">
        <w:rPr>
          <w:rFonts w:asciiTheme="minorHAnsi" w:hAnsiTheme="minorHAnsi" w:cstheme="minorHAnsi"/>
          <w:sz w:val="22"/>
          <w:szCs w:val="22"/>
        </w:rPr>
        <w:t xml:space="preserve">in Professional Practice </w:t>
      </w:r>
      <w:r w:rsidR="001E3D0C" w:rsidRPr="00C012FC">
        <w:rPr>
          <w:rFonts w:asciiTheme="minorHAnsi" w:hAnsiTheme="minorHAnsi" w:cstheme="minorHAnsi"/>
          <w:sz w:val="22"/>
          <w:szCs w:val="22"/>
        </w:rPr>
        <w:t>with PGDE at Glasgow</w:t>
      </w:r>
      <w:r w:rsidRPr="00C012FC">
        <w:rPr>
          <w:rFonts w:asciiTheme="minorHAnsi" w:hAnsiTheme="minorHAnsi" w:cstheme="minorHAnsi"/>
          <w:sz w:val="22"/>
          <w:szCs w:val="22"/>
        </w:rPr>
        <w:t xml:space="preserve"> University</w:t>
      </w:r>
      <w:r w:rsidR="00000C89" w:rsidRPr="00C012FC">
        <w:rPr>
          <w:rFonts w:asciiTheme="minorHAnsi" w:hAnsiTheme="minorHAnsi" w:cstheme="minorHAnsi"/>
          <w:sz w:val="22"/>
          <w:szCs w:val="22"/>
        </w:rPr>
        <w:t>,</w:t>
      </w:r>
      <w:r w:rsidR="001E3D0C" w:rsidRPr="00C012FC">
        <w:rPr>
          <w:rFonts w:asciiTheme="minorHAnsi" w:hAnsiTheme="minorHAnsi" w:cstheme="minorHAnsi"/>
          <w:sz w:val="22"/>
          <w:szCs w:val="22"/>
        </w:rPr>
        <w:t xml:space="preserve"> and the </w:t>
      </w:r>
      <w:r w:rsidRPr="00C012FC">
        <w:rPr>
          <w:rFonts w:asciiTheme="minorHAnsi" w:hAnsiTheme="minorHAnsi" w:cstheme="minorHAnsi"/>
          <w:sz w:val="22"/>
          <w:szCs w:val="22"/>
        </w:rPr>
        <w:t xml:space="preserve">cross-phase </w:t>
      </w:r>
      <w:r w:rsidR="007827BE" w:rsidRPr="00C012FC">
        <w:rPr>
          <w:rFonts w:asciiTheme="minorHAnsi" w:hAnsiTheme="minorHAnsi" w:cstheme="minorHAnsi"/>
          <w:sz w:val="22"/>
          <w:szCs w:val="22"/>
        </w:rPr>
        <w:t>MSc in Transformative Learning and Teaching at Edinburgh</w:t>
      </w:r>
      <w:r w:rsidR="00000C89" w:rsidRPr="00C012FC">
        <w:rPr>
          <w:rFonts w:asciiTheme="minorHAnsi" w:hAnsiTheme="minorHAnsi" w:cstheme="minorHAnsi"/>
          <w:sz w:val="22"/>
          <w:szCs w:val="22"/>
        </w:rPr>
        <w:t xml:space="preserve"> University</w:t>
      </w:r>
      <w:r w:rsidR="007827BE" w:rsidRPr="00C012FC">
        <w:rPr>
          <w:rFonts w:asciiTheme="minorHAnsi" w:hAnsiTheme="minorHAnsi" w:cstheme="minorHAnsi"/>
          <w:sz w:val="22"/>
          <w:szCs w:val="22"/>
        </w:rPr>
        <w:t xml:space="preserve">. </w:t>
      </w:r>
      <w:r w:rsidRPr="00C012FC">
        <w:rPr>
          <w:rFonts w:asciiTheme="minorHAnsi" w:hAnsiTheme="minorHAnsi" w:cstheme="minorHAnsi"/>
          <w:sz w:val="22"/>
          <w:szCs w:val="22"/>
        </w:rPr>
        <w:t xml:space="preserve">Collective responsibility for system improvement is evidenced in the development of </w:t>
      </w:r>
      <w:r w:rsidR="001E3D0C" w:rsidRPr="00C012FC">
        <w:rPr>
          <w:rFonts w:asciiTheme="minorHAnsi" w:hAnsiTheme="minorHAnsi" w:cstheme="minorHAnsi"/>
          <w:sz w:val="22"/>
          <w:szCs w:val="22"/>
        </w:rPr>
        <w:t xml:space="preserve">more immersive residency models such as the </w:t>
      </w:r>
      <w:r w:rsidR="001E3D0C" w:rsidRPr="00C012FC">
        <w:rPr>
          <w:rFonts w:asciiTheme="minorHAnsi" w:hAnsiTheme="minorHAnsi" w:cs="MyriadPro-Regular"/>
          <w:sz w:val="22"/>
          <w:szCs w:val="22"/>
          <w:lang w:val="en-GB"/>
        </w:rPr>
        <w:t xml:space="preserve">School Centres for Teaching Excellence </w:t>
      </w:r>
      <w:r w:rsidR="001E3D0C" w:rsidRPr="00C012FC">
        <w:rPr>
          <w:rFonts w:asciiTheme="minorHAnsi" w:hAnsiTheme="minorHAnsi" w:cs="MyriadPro-Bold"/>
          <w:bCs/>
          <w:sz w:val="22"/>
          <w:szCs w:val="22"/>
          <w:lang w:val="en-GB"/>
        </w:rPr>
        <w:t>(</w:t>
      </w:r>
      <w:r w:rsidR="001E3D0C" w:rsidRPr="00C012FC">
        <w:rPr>
          <w:rFonts w:asciiTheme="minorHAnsi" w:hAnsiTheme="minorHAnsi" w:cs="MyriadPro-Regular"/>
          <w:sz w:val="22"/>
          <w:szCs w:val="22"/>
          <w:lang w:val="en-GB"/>
        </w:rPr>
        <w:t xml:space="preserve">SCTE) </w:t>
      </w:r>
      <w:r w:rsidR="00AD331D" w:rsidRPr="00C012FC">
        <w:rPr>
          <w:rFonts w:asciiTheme="minorHAnsi" w:hAnsiTheme="minorHAnsi" w:cs="MyriadPro-Regular"/>
          <w:sz w:val="22"/>
          <w:szCs w:val="22"/>
          <w:lang w:val="en-GB"/>
        </w:rPr>
        <w:t>i</w:t>
      </w:r>
      <w:r w:rsidR="001E3D0C" w:rsidRPr="00C012FC">
        <w:rPr>
          <w:rFonts w:asciiTheme="minorHAnsi" w:hAnsiTheme="minorHAnsi" w:cs="MyriadPro-Regular"/>
          <w:sz w:val="22"/>
          <w:szCs w:val="22"/>
          <w:lang w:val="en-GB"/>
        </w:rPr>
        <w:t>n Victoria Australia</w:t>
      </w:r>
      <w:r w:rsidRPr="00C012FC">
        <w:rPr>
          <w:rFonts w:asciiTheme="minorHAnsi" w:hAnsiTheme="minorHAnsi" w:cs="MyriadPro-Regular"/>
          <w:sz w:val="22"/>
          <w:szCs w:val="22"/>
          <w:lang w:val="en-GB"/>
        </w:rPr>
        <w:t xml:space="preserve">, the clinical model of teacher education with associated partner ‘hub schools’ initiated in Glasgow West, and the </w:t>
      </w:r>
      <w:r w:rsidRPr="00C012FC">
        <w:rPr>
          <w:rFonts w:asciiTheme="minorHAnsi" w:hAnsiTheme="minorHAnsi" w:cstheme="minorHAnsi"/>
          <w:sz w:val="22"/>
          <w:szCs w:val="22"/>
        </w:rPr>
        <w:t>University Schools Model</w:t>
      </w:r>
      <w:r w:rsidR="00236702" w:rsidRPr="00C012FC">
        <w:rPr>
          <w:rFonts w:asciiTheme="minorHAnsi" w:hAnsiTheme="minorHAnsi" w:cstheme="minorHAnsi"/>
          <w:sz w:val="22"/>
          <w:szCs w:val="22"/>
        </w:rPr>
        <w:t>,</w:t>
      </w:r>
      <w:r w:rsidRPr="00C012FC">
        <w:rPr>
          <w:rFonts w:asciiTheme="minorHAnsi" w:hAnsiTheme="minorHAnsi" w:cstheme="minorHAnsi"/>
          <w:sz w:val="22"/>
          <w:szCs w:val="22"/>
        </w:rPr>
        <w:t xml:space="preserve"> Manchester</w:t>
      </w:r>
      <w:r w:rsidR="005D1C2E">
        <w:rPr>
          <w:rFonts w:asciiTheme="minorHAnsi" w:hAnsiTheme="minorHAnsi" w:cstheme="minorHAnsi"/>
          <w:sz w:val="22"/>
          <w:szCs w:val="22"/>
        </w:rPr>
        <w:t xml:space="preserve"> Metropolitan University</w:t>
      </w:r>
      <w:r w:rsidR="001E3D0C" w:rsidRPr="00C012FC">
        <w:rPr>
          <w:rFonts w:asciiTheme="minorHAnsi" w:hAnsiTheme="minorHAnsi" w:cs="MyriadPro-Regular"/>
          <w:sz w:val="22"/>
          <w:szCs w:val="22"/>
          <w:lang w:val="en-GB"/>
        </w:rPr>
        <w:t>.</w:t>
      </w:r>
      <w:r w:rsidR="000E1424" w:rsidRPr="00C012FC">
        <w:rPr>
          <w:rFonts w:asciiTheme="minorHAnsi" w:hAnsiTheme="minorHAnsi" w:cs="MyriadPro-Regular"/>
          <w:sz w:val="22"/>
          <w:szCs w:val="22"/>
          <w:lang w:val="en-GB"/>
        </w:rPr>
        <w:t xml:space="preserve"> </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C012FC" w:rsidRPr="00450467" w:rsidRDefault="00C012FC" w:rsidP="004C4F16">
      <w:pPr>
        <w:jc w:val="both"/>
        <w:rPr>
          <w:rFonts w:asciiTheme="minorHAnsi" w:hAnsiTheme="minorHAnsi" w:cstheme="minorHAnsi"/>
          <w:b/>
          <w:color w:val="auto"/>
          <w:sz w:val="22"/>
          <w:szCs w:val="22"/>
        </w:rPr>
      </w:pPr>
      <w:r w:rsidRPr="00450467">
        <w:rPr>
          <w:rFonts w:asciiTheme="minorHAnsi" w:hAnsiTheme="minorHAnsi" w:cstheme="minorHAnsi"/>
          <w:b/>
          <w:color w:val="auto"/>
          <w:sz w:val="22"/>
          <w:szCs w:val="22"/>
        </w:rPr>
        <w:t xml:space="preserve">Quality Assurance in Context </w:t>
      </w:r>
    </w:p>
    <w:p w:rsidR="00B00A74" w:rsidRDefault="00B00A74" w:rsidP="004C4F16">
      <w:pPr>
        <w:jc w:val="both"/>
        <w:rPr>
          <w:rFonts w:asciiTheme="minorHAnsi" w:hAnsiTheme="minorHAnsi" w:cstheme="minorHAnsi"/>
          <w:sz w:val="22"/>
          <w:szCs w:val="22"/>
        </w:rPr>
      </w:pPr>
      <w:r w:rsidRPr="00C012FC">
        <w:rPr>
          <w:rFonts w:asciiTheme="minorHAnsi" w:hAnsiTheme="minorHAnsi" w:cstheme="minorHAnsi"/>
          <w:sz w:val="22"/>
          <w:szCs w:val="22"/>
        </w:rPr>
        <w:t>The large number of small providers increases pressure on systems monitoring the quality of provision.  Countries such as Finland and Chinese Taipei concentrate teacher education in a smaller number of well-resourced universities.</w:t>
      </w:r>
      <w:r w:rsidR="00A003FE" w:rsidRPr="00C012FC">
        <w:rPr>
          <w:rFonts w:asciiTheme="minorHAnsi" w:hAnsiTheme="minorHAnsi" w:cstheme="minorHAnsi"/>
          <w:sz w:val="22"/>
          <w:szCs w:val="22"/>
        </w:rPr>
        <w:t xml:space="preserve"> Changes to ITE in England have de-stabilised staffing in many univers</w:t>
      </w:r>
      <w:r w:rsidR="00CC77DC" w:rsidRPr="00C012FC">
        <w:rPr>
          <w:rFonts w:asciiTheme="minorHAnsi" w:hAnsiTheme="minorHAnsi" w:cstheme="minorHAnsi"/>
          <w:sz w:val="22"/>
          <w:szCs w:val="22"/>
        </w:rPr>
        <w:t>ity departments of education at a time of</w:t>
      </w:r>
      <w:r w:rsidR="00A003FE" w:rsidRPr="00C012FC">
        <w:rPr>
          <w:rFonts w:asciiTheme="minorHAnsi" w:hAnsiTheme="minorHAnsi" w:cstheme="minorHAnsi"/>
          <w:sz w:val="22"/>
          <w:szCs w:val="22"/>
        </w:rPr>
        <w:t xml:space="preserve"> diminished funding for applied </w:t>
      </w:r>
      <w:r w:rsidR="0005459F" w:rsidRPr="00C012FC">
        <w:rPr>
          <w:rFonts w:asciiTheme="minorHAnsi" w:hAnsiTheme="minorHAnsi" w:cstheme="minorHAnsi"/>
          <w:sz w:val="22"/>
          <w:szCs w:val="22"/>
        </w:rPr>
        <w:t xml:space="preserve">educational </w:t>
      </w:r>
      <w:r w:rsidR="00A003FE" w:rsidRPr="00C012FC">
        <w:rPr>
          <w:rFonts w:asciiTheme="minorHAnsi" w:hAnsiTheme="minorHAnsi" w:cstheme="minorHAnsi"/>
          <w:sz w:val="22"/>
          <w:szCs w:val="22"/>
        </w:rPr>
        <w:t>research</w:t>
      </w:r>
      <w:r w:rsidR="00CC77DC" w:rsidRPr="00C012FC">
        <w:rPr>
          <w:rFonts w:asciiTheme="minorHAnsi" w:hAnsiTheme="minorHAnsi" w:cstheme="minorHAnsi"/>
          <w:sz w:val="22"/>
          <w:szCs w:val="22"/>
        </w:rPr>
        <w:t xml:space="preserve"> (</w:t>
      </w:r>
      <w:r w:rsidR="0005459F" w:rsidRPr="00C012FC">
        <w:rPr>
          <w:rFonts w:asciiTheme="minorHAnsi" w:hAnsiTheme="minorHAnsi" w:cstheme="minorHAnsi"/>
          <w:sz w:val="22"/>
          <w:szCs w:val="22"/>
        </w:rPr>
        <w:t>McNamara &amp; Murray, 2013; Whitty, 2013</w:t>
      </w:r>
      <w:r w:rsidR="00CC77DC" w:rsidRPr="00C012FC">
        <w:rPr>
          <w:rFonts w:asciiTheme="minorHAnsi" w:hAnsiTheme="minorHAnsi" w:cstheme="minorHAnsi"/>
          <w:sz w:val="22"/>
          <w:szCs w:val="22"/>
        </w:rPr>
        <w:t>)</w:t>
      </w:r>
      <w:r w:rsidR="00A003FE" w:rsidRPr="00C012FC">
        <w:rPr>
          <w:rFonts w:asciiTheme="minorHAnsi" w:hAnsiTheme="minorHAnsi" w:cstheme="minorHAnsi"/>
          <w:sz w:val="22"/>
          <w:szCs w:val="22"/>
        </w:rPr>
        <w:t>.</w:t>
      </w:r>
      <w:r w:rsidR="0076018E" w:rsidRPr="00C012FC">
        <w:rPr>
          <w:rFonts w:asciiTheme="minorHAnsi" w:hAnsiTheme="minorHAnsi" w:cstheme="minorHAnsi"/>
          <w:sz w:val="22"/>
          <w:szCs w:val="22"/>
        </w:rPr>
        <w:t xml:space="preserve"> The increased diversity in size of providers </w:t>
      </w:r>
      <w:r w:rsidR="005F3D8E" w:rsidRPr="00C012FC">
        <w:rPr>
          <w:rFonts w:asciiTheme="minorHAnsi" w:hAnsiTheme="minorHAnsi" w:cstheme="minorHAnsi"/>
          <w:sz w:val="22"/>
          <w:szCs w:val="22"/>
        </w:rPr>
        <w:t xml:space="preserve">in England </w:t>
      </w:r>
      <w:r w:rsidR="0076018E" w:rsidRPr="00C012FC">
        <w:rPr>
          <w:rFonts w:asciiTheme="minorHAnsi" w:hAnsiTheme="minorHAnsi" w:cstheme="minorHAnsi"/>
          <w:sz w:val="22"/>
          <w:szCs w:val="22"/>
        </w:rPr>
        <w:t>– some SCITTs train less than 10 teachers a year, with large HEI providers training over 1,500 – creates a challenge in developing an inspection framework and process that adequately monitors quality</w:t>
      </w:r>
      <w:r w:rsidR="005F3D8E" w:rsidRPr="00C012FC">
        <w:rPr>
          <w:rFonts w:asciiTheme="minorHAnsi" w:hAnsiTheme="minorHAnsi" w:cstheme="minorHAnsi"/>
          <w:sz w:val="22"/>
          <w:szCs w:val="22"/>
        </w:rPr>
        <w:t xml:space="preserve"> in such a diverse landscape</w:t>
      </w:r>
      <w:r w:rsidR="00A817E9" w:rsidRPr="00C012FC">
        <w:rPr>
          <w:rFonts w:asciiTheme="minorHAnsi" w:hAnsiTheme="minorHAnsi" w:cstheme="minorHAnsi"/>
          <w:sz w:val="22"/>
          <w:szCs w:val="22"/>
        </w:rPr>
        <w:t xml:space="preserve"> and that ensures a fair comparison between those inspected</w:t>
      </w:r>
      <w:r w:rsidR="0076018E" w:rsidRPr="00C012FC">
        <w:rPr>
          <w:rFonts w:asciiTheme="minorHAnsi" w:hAnsiTheme="minorHAnsi" w:cstheme="minorHAnsi"/>
          <w:sz w:val="22"/>
          <w:szCs w:val="22"/>
        </w:rPr>
        <w:t>.</w:t>
      </w:r>
    </w:p>
    <w:p w:rsidR="004C4F16" w:rsidRPr="004C4F16" w:rsidRDefault="004C4F16" w:rsidP="004C4F16">
      <w:pPr>
        <w:jc w:val="both"/>
        <w:rPr>
          <w:rFonts w:asciiTheme="minorHAnsi" w:hAnsiTheme="minorHAnsi" w:cstheme="minorHAnsi"/>
          <w:sz w:val="16"/>
          <w:szCs w:val="16"/>
        </w:rPr>
      </w:pPr>
    </w:p>
    <w:p w:rsidR="00C012FC" w:rsidRPr="00450467" w:rsidRDefault="00C012FC" w:rsidP="004C4F16">
      <w:pPr>
        <w:autoSpaceDE w:val="0"/>
        <w:autoSpaceDN w:val="0"/>
        <w:adjustRightInd w:val="0"/>
        <w:jc w:val="both"/>
        <w:rPr>
          <w:rFonts w:asciiTheme="minorHAnsi" w:hAnsiTheme="minorHAnsi" w:cstheme="minorHAnsi"/>
          <w:color w:val="auto"/>
          <w:sz w:val="22"/>
          <w:szCs w:val="22"/>
        </w:rPr>
      </w:pPr>
      <w:r w:rsidRPr="00450467">
        <w:rPr>
          <w:rFonts w:asciiTheme="minorHAnsi" w:hAnsiTheme="minorHAnsi" w:cstheme="minorHAnsi"/>
          <w:b/>
          <w:color w:val="auto"/>
          <w:sz w:val="22"/>
          <w:szCs w:val="22"/>
        </w:rPr>
        <w:t>Looking Beyond New Teachers for Improvement</w:t>
      </w:r>
      <w:r w:rsidRPr="00450467">
        <w:rPr>
          <w:rFonts w:asciiTheme="minorHAnsi" w:hAnsiTheme="minorHAnsi" w:cstheme="minorHAnsi"/>
          <w:color w:val="auto"/>
          <w:sz w:val="22"/>
          <w:szCs w:val="22"/>
        </w:rPr>
        <w:t xml:space="preserve">  </w:t>
      </w:r>
    </w:p>
    <w:p w:rsidR="00564659" w:rsidRDefault="00F0344E" w:rsidP="004C4F16">
      <w:pPr>
        <w:autoSpaceDE w:val="0"/>
        <w:autoSpaceDN w:val="0"/>
        <w:adjustRightInd w:val="0"/>
        <w:jc w:val="both"/>
        <w:rPr>
          <w:rFonts w:asciiTheme="minorHAnsi" w:hAnsiTheme="minorHAnsi" w:cstheme="minorHAnsi"/>
          <w:sz w:val="22"/>
          <w:szCs w:val="22"/>
        </w:rPr>
      </w:pPr>
      <w:r w:rsidRPr="00C012FC">
        <w:rPr>
          <w:rFonts w:asciiTheme="minorHAnsi" w:hAnsiTheme="minorHAnsi" w:cstheme="minorHAnsi"/>
          <w:sz w:val="22"/>
          <w:szCs w:val="22"/>
        </w:rPr>
        <w:t>Accounting for the success of the change process in Ontario, Levin (2012: 101) (learning from his experience of the England’s national literacy and numeracy strategy) comments that,</w:t>
      </w:r>
      <w:r w:rsidR="00000C89" w:rsidRPr="00C012FC">
        <w:rPr>
          <w:rFonts w:asciiTheme="minorHAnsi" w:hAnsiTheme="minorHAnsi" w:cstheme="minorHAnsi"/>
          <w:sz w:val="22"/>
          <w:szCs w:val="22"/>
        </w:rPr>
        <w:t xml:space="preserve"> ‘</w:t>
      </w:r>
      <w:r w:rsidRPr="00C012FC">
        <w:rPr>
          <w:rFonts w:asciiTheme="minorHAnsi" w:hAnsiTheme="minorHAnsi" w:cstheme="minorHAnsi"/>
          <w:sz w:val="22"/>
          <w:szCs w:val="22"/>
        </w:rPr>
        <w:t>a successful strategy has to engage educators, and especially the most skillful and energetic ones, so that they become loca</w:t>
      </w:r>
      <w:r w:rsidR="00000C89" w:rsidRPr="00C012FC">
        <w:rPr>
          <w:rFonts w:asciiTheme="minorHAnsi" w:hAnsiTheme="minorHAnsi" w:cstheme="minorHAnsi"/>
          <w:sz w:val="22"/>
          <w:szCs w:val="22"/>
        </w:rPr>
        <w:t>l leaders rather than resistors’</w:t>
      </w:r>
      <w:r w:rsidRPr="00C012FC">
        <w:rPr>
          <w:rFonts w:asciiTheme="minorHAnsi" w:hAnsiTheme="minorHAnsi" w:cstheme="minorHAnsi"/>
          <w:sz w:val="22"/>
          <w:szCs w:val="22"/>
        </w:rPr>
        <w:t xml:space="preserve">. The change process is not seen as being done to the profession. In Ontario, the theory of </w:t>
      </w:r>
      <w:r w:rsidR="00CC77DC" w:rsidRPr="00C012FC">
        <w:rPr>
          <w:rFonts w:asciiTheme="minorHAnsi" w:hAnsiTheme="minorHAnsi" w:cstheme="minorHAnsi"/>
          <w:sz w:val="22"/>
          <w:szCs w:val="22"/>
        </w:rPr>
        <w:t xml:space="preserve">collective </w:t>
      </w:r>
      <w:r w:rsidRPr="00C012FC">
        <w:rPr>
          <w:rFonts w:asciiTheme="minorHAnsi" w:hAnsiTheme="minorHAnsi" w:cstheme="minorHAnsi"/>
          <w:sz w:val="22"/>
          <w:szCs w:val="22"/>
        </w:rPr>
        <w:t>improvement focuses on schools and districts rather than individual teachers or ITE, maintaining that ‘schools will change new teachers far more than new teachers will change schools’ (p. 107). That is not to say that new entrants have no influence on professi</w:t>
      </w:r>
      <w:r w:rsidR="00000C89" w:rsidRPr="00C012FC">
        <w:rPr>
          <w:rFonts w:asciiTheme="minorHAnsi" w:hAnsiTheme="minorHAnsi" w:cstheme="minorHAnsi"/>
          <w:sz w:val="22"/>
          <w:szCs w:val="22"/>
        </w:rPr>
        <w:t>onal culture (Hulme et al., 2008</w:t>
      </w:r>
      <w:r w:rsidRPr="00C012FC">
        <w:rPr>
          <w:rFonts w:asciiTheme="minorHAnsi" w:hAnsiTheme="minorHAnsi" w:cstheme="minorHAnsi"/>
          <w:sz w:val="22"/>
          <w:szCs w:val="22"/>
        </w:rPr>
        <w:t>) but this is limited if new teachers do not stay.</w:t>
      </w:r>
      <w:r w:rsidR="00413829" w:rsidRPr="00C012FC">
        <w:rPr>
          <w:rFonts w:asciiTheme="minorHAnsi" w:hAnsiTheme="minorHAnsi" w:cstheme="minorHAnsi"/>
          <w:sz w:val="22"/>
          <w:szCs w:val="22"/>
        </w:rPr>
        <w:t xml:space="preserve"> </w:t>
      </w:r>
      <w:r w:rsidR="00970B4B">
        <w:rPr>
          <w:rFonts w:asciiTheme="minorHAnsi" w:hAnsiTheme="minorHAnsi" w:cstheme="minorHAnsi"/>
          <w:sz w:val="22"/>
          <w:szCs w:val="22"/>
        </w:rPr>
        <w:t>Developing expertise takes time and focus across the career course</w:t>
      </w:r>
      <w:r w:rsidR="00102982">
        <w:rPr>
          <w:rFonts w:asciiTheme="minorHAnsi" w:hAnsiTheme="minorHAnsi" w:cstheme="minorHAnsi"/>
          <w:sz w:val="22"/>
          <w:szCs w:val="22"/>
        </w:rPr>
        <w:t xml:space="preserve"> and across a range of employment settings</w:t>
      </w:r>
      <w:r w:rsidR="00970B4B">
        <w:rPr>
          <w:rFonts w:asciiTheme="minorHAnsi" w:hAnsiTheme="minorHAnsi" w:cstheme="minorHAnsi"/>
          <w:sz w:val="22"/>
          <w:szCs w:val="22"/>
        </w:rPr>
        <w:t xml:space="preserve">. </w:t>
      </w:r>
      <w:r w:rsidR="00AE63F1" w:rsidRPr="00C012FC">
        <w:rPr>
          <w:rFonts w:asciiTheme="minorHAnsi" w:hAnsiTheme="minorHAnsi" w:cstheme="minorHAnsi"/>
          <w:sz w:val="22"/>
          <w:szCs w:val="22"/>
        </w:rPr>
        <w:t>In England</w:t>
      </w:r>
      <w:r w:rsidR="00000C89" w:rsidRPr="00C012FC">
        <w:rPr>
          <w:rFonts w:asciiTheme="minorHAnsi" w:hAnsiTheme="minorHAnsi" w:cstheme="minorHAnsi"/>
          <w:sz w:val="22"/>
          <w:szCs w:val="22"/>
        </w:rPr>
        <w:t>,</w:t>
      </w:r>
      <w:r w:rsidR="00AE63F1" w:rsidRPr="00C012FC">
        <w:rPr>
          <w:rFonts w:asciiTheme="minorHAnsi" w:hAnsiTheme="minorHAnsi" w:cstheme="minorHAnsi"/>
          <w:sz w:val="22"/>
          <w:szCs w:val="22"/>
        </w:rPr>
        <w:t xml:space="preserve"> much school improvement is seen through the lens of improving ind</w:t>
      </w:r>
      <w:r w:rsidR="00314500" w:rsidRPr="00C012FC">
        <w:rPr>
          <w:rFonts w:asciiTheme="minorHAnsi" w:hAnsiTheme="minorHAnsi" w:cstheme="minorHAnsi"/>
          <w:sz w:val="22"/>
          <w:szCs w:val="22"/>
        </w:rPr>
        <w:t>ividual teachers (SLE</w:t>
      </w:r>
      <w:r w:rsidR="00AE63F1" w:rsidRPr="00C012FC">
        <w:rPr>
          <w:rFonts w:asciiTheme="minorHAnsi" w:hAnsiTheme="minorHAnsi" w:cstheme="minorHAnsi"/>
          <w:sz w:val="22"/>
          <w:szCs w:val="22"/>
        </w:rPr>
        <w:t>, ITP and OTP</w:t>
      </w:r>
      <w:r w:rsidR="00314500" w:rsidRPr="00C012FC">
        <w:rPr>
          <w:rFonts w:asciiTheme="minorHAnsi" w:hAnsiTheme="minorHAnsi" w:cstheme="minorHAnsi"/>
          <w:sz w:val="22"/>
          <w:szCs w:val="22"/>
        </w:rPr>
        <w:t xml:space="preserve"> programmes</w:t>
      </w:r>
      <w:r w:rsidR="00AE63F1" w:rsidRPr="00C012FC">
        <w:rPr>
          <w:rFonts w:asciiTheme="minorHAnsi" w:hAnsiTheme="minorHAnsi" w:cstheme="minorHAnsi"/>
          <w:sz w:val="22"/>
          <w:szCs w:val="22"/>
        </w:rPr>
        <w:t>) driven by National Teaching Schools</w:t>
      </w:r>
      <w:r w:rsidR="00A817E9" w:rsidRPr="00C012FC">
        <w:rPr>
          <w:rFonts w:asciiTheme="minorHAnsi" w:hAnsiTheme="minorHAnsi" w:cstheme="minorHAnsi"/>
          <w:sz w:val="22"/>
          <w:szCs w:val="22"/>
        </w:rPr>
        <w:t xml:space="preserve"> leaving engagement</w:t>
      </w:r>
      <w:r w:rsidR="00314500" w:rsidRPr="00C012FC">
        <w:rPr>
          <w:rFonts w:asciiTheme="minorHAnsi" w:hAnsiTheme="minorHAnsi" w:cstheme="minorHAnsi"/>
          <w:sz w:val="22"/>
          <w:szCs w:val="22"/>
        </w:rPr>
        <w:t xml:space="preserve"> overly reliant on the geographical reach and relationships with those organisations. </w:t>
      </w:r>
    </w:p>
    <w:p w:rsidR="004C4F16" w:rsidRPr="004C4F16" w:rsidRDefault="004C4F16" w:rsidP="004C4F16">
      <w:pPr>
        <w:autoSpaceDE w:val="0"/>
        <w:autoSpaceDN w:val="0"/>
        <w:adjustRightInd w:val="0"/>
        <w:jc w:val="both"/>
        <w:rPr>
          <w:rFonts w:asciiTheme="minorHAnsi" w:hAnsiTheme="minorHAnsi" w:cs="MyriadPro-Regular"/>
          <w:sz w:val="16"/>
          <w:szCs w:val="16"/>
          <w:lang w:val="en-GB"/>
        </w:rPr>
      </w:pPr>
    </w:p>
    <w:p w:rsidR="00C012FC" w:rsidRPr="00450467" w:rsidRDefault="00450467" w:rsidP="004C4F16">
      <w:pPr>
        <w:jc w:val="both"/>
        <w:rPr>
          <w:rFonts w:asciiTheme="minorHAnsi" w:hAnsiTheme="minorHAnsi" w:cstheme="minorHAnsi"/>
          <w:b/>
          <w:color w:val="auto"/>
          <w:sz w:val="22"/>
          <w:szCs w:val="22"/>
        </w:rPr>
      </w:pPr>
      <w:r w:rsidRPr="00450467">
        <w:rPr>
          <w:rFonts w:asciiTheme="minorHAnsi" w:hAnsiTheme="minorHAnsi" w:cstheme="minorHAnsi"/>
          <w:b/>
          <w:color w:val="auto"/>
          <w:sz w:val="22"/>
          <w:szCs w:val="22"/>
        </w:rPr>
        <w:t>The r</w:t>
      </w:r>
      <w:r w:rsidR="00C012FC" w:rsidRPr="00450467">
        <w:rPr>
          <w:rFonts w:asciiTheme="minorHAnsi" w:hAnsiTheme="minorHAnsi" w:cstheme="minorHAnsi"/>
          <w:b/>
          <w:color w:val="auto"/>
          <w:sz w:val="22"/>
          <w:szCs w:val="22"/>
        </w:rPr>
        <w:t>ole of Research in Teacher Education</w:t>
      </w:r>
    </w:p>
    <w:p w:rsidR="00C66C63" w:rsidRDefault="00C66C63" w:rsidP="004C4F16">
      <w:pPr>
        <w:jc w:val="both"/>
        <w:rPr>
          <w:rFonts w:asciiTheme="minorHAnsi" w:hAnsiTheme="minorHAnsi" w:cstheme="minorHAnsi"/>
          <w:sz w:val="22"/>
          <w:szCs w:val="22"/>
        </w:rPr>
      </w:pPr>
      <w:r w:rsidRPr="00C012FC">
        <w:rPr>
          <w:rFonts w:asciiTheme="minorHAnsi" w:hAnsiTheme="minorHAnsi" w:cstheme="minorHAnsi"/>
          <w:sz w:val="22"/>
          <w:szCs w:val="22"/>
        </w:rPr>
        <w:t xml:space="preserve">Teacher education programs in high-achieving </w:t>
      </w:r>
      <w:r w:rsidR="005F3D8E" w:rsidRPr="00C012FC">
        <w:rPr>
          <w:rFonts w:asciiTheme="minorHAnsi" w:hAnsiTheme="minorHAnsi" w:cstheme="minorHAnsi"/>
          <w:sz w:val="22"/>
          <w:szCs w:val="22"/>
        </w:rPr>
        <w:t>countries are strongly research</w:t>
      </w:r>
      <w:r w:rsidRPr="00C012FC">
        <w:rPr>
          <w:rFonts w:asciiTheme="minorHAnsi" w:hAnsiTheme="minorHAnsi" w:cstheme="minorHAnsi"/>
          <w:sz w:val="22"/>
          <w:szCs w:val="22"/>
        </w:rPr>
        <w:t xml:space="preserve"> and evidence-based. Research engagement is likely to be strongest where the university connection in strong. </w:t>
      </w:r>
      <w:r w:rsidR="00970B4B">
        <w:rPr>
          <w:rFonts w:asciiTheme="minorHAnsi" w:hAnsiTheme="minorHAnsi" w:cstheme="minorHAnsi"/>
          <w:sz w:val="22"/>
          <w:szCs w:val="22"/>
        </w:rPr>
        <w:t xml:space="preserve">Research policy can do more to support impactful </w:t>
      </w:r>
      <w:r w:rsidR="00AE7688">
        <w:rPr>
          <w:rFonts w:asciiTheme="minorHAnsi" w:hAnsiTheme="minorHAnsi" w:cstheme="minorHAnsi"/>
          <w:sz w:val="22"/>
          <w:szCs w:val="22"/>
        </w:rPr>
        <w:t xml:space="preserve">close-to-practice </w:t>
      </w:r>
      <w:r w:rsidR="00970B4B">
        <w:rPr>
          <w:rFonts w:asciiTheme="minorHAnsi" w:hAnsiTheme="minorHAnsi" w:cstheme="minorHAnsi"/>
          <w:sz w:val="22"/>
          <w:szCs w:val="22"/>
        </w:rPr>
        <w:t xml:space="preserve">research and build capacity in UK teacher education research. </w:t>
      </w:r>
      <w:r w:rsidRPr="00C012FC">
        <w:rPr>
          <w:rFonts w:asciiTheme="minorHAnsi" w:hAnsiTheme="minorHAnsi" w:cstheme="minorHAnsi"/>
          <w:sz w:val="22"/>
          <w:szCs w:val="22"/>
        </w:rPr>
        <w:t>Teaching Schools have struggled to fulfil a research role (BERA RSA, 2014). Research Schools</w:t>
      </w:r>
      <w:r w:rsidR="008D59DA" w:rsidRPr="00C012FC">
        <w:rPr>
          <w:rFonts w:asciiTheme="minorHAnsi" w:hAnsiTheme="minorHAnsi" w:cstheme="minorHAnsi"/>
          <w:sz w:val="22"/>
          <w:szCs w:val="22"/>
        </w:rPr>
        <w:t>,</w:t>
      </w:r>
      <w:r w:rsidRPr="00C012FC">
        <w:rPr>
          <w:rFonts w:asciiTheme="minorHAnsi" w:hAnsiTheme="minorHAnsi" w:cstheme="minorHAnsi"/>
          <w:sz w:val="22"/>
          <w:szCs w:val="22"/>
        </w:rPr>
        <w:t xml:space="preserve"> </w:t>
      </w:r>
      <w:r w:rsidR="008D59DA" w:rsidRPr="00C012FC">
        <w:rPr>
          <w:rFonts w:asciiTheme="minorHAnsi" w:hAnsiTheme="minorHAnsi" w:cstheme="minorHAnsi"/>
          <w:sz w:val="22"/>
          <w:szCs w:val="22"/>
        </w:rPr>
        <w:t xml:space="preserve">and schools in ‘opportunity areas’, </w:t>
      </w:r>
      <w:r w:rsidRPr="00C012FC">
        <w:rPr>
          <w:rFonts w:asciiTheme="minorHAnsi" w:hAnsiTheme="minorHAnsi" w:cstheme="minorHAnsi"/>
          <w:sz w:val="22"/>
          <w:szCs w:val="22"/>
        </w:rPr>
        <w:t>need to draw on a broader base of research to support profess</w:t>
      </w:r>
      <w:r w:rsidR="00D97B5E">
        <w:rPr>
          <w:rFonts w:asciiTheme="minorHAnsi" w:hAnsiTheme="minorHAnsi" w:cstheme="minorHAnsi"/>
          <w:sz w:val="22"/>
          <w:szCs w:val="22"/>
        </w:rPr>
        <w:t xml:space="preserve">ional growth and grow capacity </w:t>
      </w:r>
      <w:r w:rsidRPr="00C012FC">
        <w:rPr>
          <w:rFonts w:asciiTheme="minorHAnsi" w:hAnsiTheme="minorHAnsi" w:cstheme="minorHAnsi"/>
          <w:sz w:val="22"/>
          <w:szCs w:val="22"/>
        </w:rPr>
        <w:t>rather than adopt a ‘thin version of evidence-based practice’ (Cochran-Smith, 2009).</w:t>
      </w:r>
      <w:r w:rsidR="00D97B5E">
        <w:rPr>
          <w:rFonts w:asciiTheme="minorHAnsi" w:hAnsiTheme="minorHAnsi" w:cstheme="minorHAnsi"/>
          <w:sz w:val="22"/>
          <w:szCs w:val="22"/>
        </w:rPr>
        <w:t xml:space="preserve"> The guidance </w:t>
      </w:r>
      <w:r w:rsidR="00D97B5E" w:rsidRPr="00D97B5E">
        <w:rPr>
          <w:rFonts w:asciiTheme="minorHAnsi" w:hAnsiTheme="minorHAnsi" w:cstheme="minorHAnsi"/>
          <w:sz w:val="22"/>
          <w:szCs w:val="22"/>
        </w:rPr>
        <w:t xml:space="preserve">report, </w:t>
      </w:r>
      <w:r w:rsidR="00D97B5E" w:rsidRPr="00D97B5E">
        <w:rPr>
          <w:rFonts w:asciiTheme="minorHAnsi" w:hAnsiTheme="minorHAnsi" w:cstheme="minorHAnsi"/>
          <w:i/>
          <w:sz w:val="22"/>
          <w:szCs w:val="22"/>
        </w:rPr>
        <w:t>Putting Evidence to Work: A School’s Guide to Implementation</w:t>
      </w:r>
      <w:r w:rsidR="00D97B5E">
        <w:rPr>
          <w:rFonts w:asciiTheme="minorHAnsi" w:hAnsiTheme="minorHAnsi" w:cstheme="minorHAnsi"/>
          <w:sz w:val="22"/>
          <w:szCs w:val="22"/>
        </w:rPr>
        <w:t xml:space="preserve"> (Sharples et al.</w:t>
      </w:r>
      <w:r w:rsidR="00D97B5E" w:rsidRPr="00D97B5E">
        <w:rPr>
          <w:rFonts w:asciiTheme="minorHAnsi" w:hAnsiTheme="minorHAnsi" w:cstheme="minorHAnsi"/>
          <w:sz w:val="22"/>
          <w:szCs w:val="22"/>
        </w:rPr>
        <w:t>, 2018)</w:t>
      </w:r>
      <w:r w:rsidR="00D97B5E">
        <w:rPr>
          <w:rFonts w:asciiTheme="minorHAnsi" w:hAnsiTheme="minorHAnsi" w:cstheme="minorHAnsi"/>
          <w:sz w:val="22"/>
          <w:szCs w:val="22"/>
        </w:rPr>
        <w:t>,</w:t>
      </w:r>
      <w:r w:rsidR="00D97B5E" w:rsidRPr="00D97B5E">
        <w:rPr>
          <w:rFonts w:asciiTheme="minorHAnsi" w:hAnsiTheme="minorHAnsi" w:cstheme="minorHAnsi"/>
          <w:sz w:val="22"/>
          <w:szCs w:val="22"/>
        </w:rPr>
        <w:t xml:space="preserve"> goes some way to redress the pedagogical re-positioning (and mar</w:t>
      </w:r>
      <w:r w:rsidR="00D97B5E">
        <w:rPr>
          <w:rFonts w:asciiTheme="minorHAnsi" w:hAnsiTheme="minorHAnsi" w:cstheme="minorHAnsi"/>
          <w:sz w:val="22"/>
          <w:szCs w:val="22"/>
        </w:rPr>
        <w:t>ginalisation</w:t>
      </w:r>
      <w:r w:rsidR="00D97B5E" w:rsidRPr="00D97B5E">
        <w:rPr>
          <w:rFonts w:asciiTheme="minorHAnsi" w:hAnsiTheme="minorHAnsi" w:cstheme="minorHAnsi"/>
          <w:sz w:val="22"/>
          <w:szCs w:val="22"/>
        </w:rPr>
        <w:t xml:space="preserve">) of the profession in </w:t>
      </w:r>
      <w:r w:rsidR="00D97B5E">
        <w:rPr>
          <w:rFonts w:asciiTheme="minorHAnsi" w:hAnsiTheme="minorHAnsi" w:cstheme="minorHAnsi"/>
          <w:sz w:val="22"/>
          <w:szCs w:val="22"/>
        </w:rPr>
        <w:t xml:space="preserve">debates on evidence-based education in </w:t>
      </w:r>
      <w:r w:rsidR="00D97B5E" w:rsidRPr="00D97B5E">
        <w:rPr>
          <w:rFonts w:asciiTheme="minorHAnsi" w:hAnsiTheme="minorHAnsi" w:cstheme="minorHAnsi"/>
          <w:sz w:val="22"/>
          <w:szCs w:val="22"/>
        </w:rPr>
        <w:t>recent years.</w:t>
      </w:r>
      <w:r w:rsidR="00D97B5E">
        <w:rPr>
          <w:rFonts w:asciiTheme="minorHAnsi" w:hAnsiTheme="minorHAnsi" w:cstheme="minorHAnsi"/>
          <w:sz w:val="22"/>
          <w:szCs w:val="22"/>
        </w:rPr>
        <w:t xml:space="preserve"> The Chartered College of Teaching has an important role here.</w:t>
      </w:r>
    </w:p>
    <w:p w:rsidR="004C4F16" w:rsidRPr="004C4F16" w:rsidRDefault="004C4F16" w:rsidP="004C4F16">
      <w:pPr>
        <w:jc w:val="both"/>
        <w:rPr>
          <w:rFonts w:asciiTheme="minorHAnsi" w:hAnsiTheme="minorHAnsi" w:cstheme="minorHAnsi"/>
          <w:sz w:val="16"/>
          <w:szCs w:val="16"/>
        </w:rPr>
      </w:pPr>
    </w:p>
    <w:p w:rsidR="005A25A5" w:rsidRPr="005A25A5" w:rsidRDefault="005A25A5" w:rsidP="004C4F16">
      <w:pPr>
        <w:jc w:val="both"/>
        <w:rPr>
          <w:rFonts w:asciiTheme="minorHAnsi" w:hAnsiTheme="minorHAnsi" w:cstheme="minorHAnsi"/>
          <w:color w:val="auto"/>
          <w:sz w:val="22"/>
          <w:szCs w:val="22"/>
        </w:rPr>
      </w:pPr>
      <w:r w:rsidRPr="005A25A5">
        <w:rPr>
          <w:rFonts w:asciiTheme="minorHAnsi" w:hAnsiTheme="minorHAnsi" w:cstheme="minorHAnsi"/>
          <w:b/>
          <w:color w:val="auto"/>
          <w:sz w:val="22"/>
          <w:szCs w:val="22"/>
        </w:rPr>
        <w:t>Approaching Challenges with ‘Collaborative Professionalism’</w:t>
      </w:r>
    </w:p>
    <w:p w:rsidR="0074752B" w:rsidRDefault="007827BE" w:rsidP="004C4F16">
      <w:pPr>
        <w:autoSpaceDE w:val="0"/>
        <w:autoSpaceDN w:val="0"/>
        <w:adjustRightInd w:val="0"/>
        <w:jc w:val="both"/>
        <w:rPr>
          <w:rFonts w:asciiTheme="minorHAnsi" w:hAnsiTheme="minorHAnsi" w:cstheme="minorHAnsi"/>
          <w:color w:val="auto"/>
          <w:sz w:val="22"/>
          <w:szCs w:val="22"/>
        </w:rPr>
      </w:pPr>
      <w:r w:rsidRPr="00C012FC">
        <w:rPr>
          <w:rFonts w:asciiTheme="minorHAnsi" w:hAnsiTheme="minorHAnsi" w:cstheme="minorHAnsi"/>
          <w:sz w:val="22"/>
          <w:szCs w:val="22"/>
        </w:rPr>
        <w:t>Rather than repeat the teacher-as-problem narratives of the past</w:t>
      </w:r>
      <w:r w:rsidR="0005459F" w:rsidRPr="00C012FC">
        <w:rPr>
          <w:rFonts w:asciiTheme="minorHAnsi" w:hAnsiTheme="minorHAnsi" w:cstheme="minorHAnsi"/>
          <w:sz w:val="22"/>
          <w:szCs w:val="22"/>
        </w:rPr>
        <w:t>,</w:t>
      </w:r>
      <w:r w:rsidRPr="00C012FC">
        <w:rPr>
          <w:rFonts w:asciiTheme="minorHAnsi" w:hAnsiTheme="minorHAnsi" w:cstheme="minorHAnsi"/>
          <w:sz w:val="22"/>
          <w:szCs w:val="22"/>
        </w:rPr>
        <w:t xml:space="preserve"> </w:t>
      </w:r>
      <w:r w:rsidR="0005459F" w:rsidRPr="00C012FC">
        <w:rPr>
          <w:rFonts w:asciiTheme="minorHAnsi" w:hAnsiTheme="minorHAnsi" w:cstheme="minorHAnsi"/>
          <w:sz w:val="22"/>
          <w:szCs w:val="22"/>
        </w:rPr>
        <w:t xml:space="preserve">consolidated by a </w:t>
      </w:r>
      <w:r w:rsidRPr="00C012FC">
        <w:rPr>
          <w:rFonts w:asciiTheme="minorHAnsi" w:hAnsiTheme="minorHAnsi" w:cstheme="minorHAnsi"/>
          <w:sz w:val="22"/>
          <w:szCs w:val="22"/>
        </w:rPr>
        <w:t xml:space="preserve">‘thin version’ of evidence-based teaching, </w:t>
      </w:r>
      <w:r w:rsidR="0005459F" w:rsidRPr="00C012FC">
        <w:rPr>
          <w:rFonts w:asciiTheme="minorHAnsi" w:hAnsiTheme="minorHAnsi" w:cstheme="minorHAnsi"/>
          <w:sz w:val="22"/>
          <w:szCs w:val="22"/>
        </w:rPr>
        <w:t xml:space="preserve">policy </w:t>
      </w:r>
      <w:r w:rsidRPr="00C012FC">
        <w:rPr>
          <w:rFonts w:asciiTheme="minorHAnsi" w:hAnsiTheme="minorHAnsi" w:cstheme="minorHAnsi"/>
          <w:sz w:val="22"/>
          <w:szCs w:val="22"/>
        </w:rPr>
        <w:t xml:space="preserve">deliberation </w:t>
      </w:r>
      <w:r w:rsidR="00F539C8" w:rsidRPr="00C012FC">
        <w:rPr>
          <w:rFonts w:asciiTheme="minorHAnsi" w:hAnsiTheme="minorHAnsi" w:cstheme="minorHAnsi"/>
          <w:sz w:val="22"/>
          <w:szCs w:val="22"/>
        </w:rPr>
        <w:t xml:space="preserve">might adopt a nuanced approach to </w:t>
      </w:r>
      <w:r w:rsidR="0005459F" w:rsidRPr="00C012FC">
        <w:rPr>
          <w:rFonts w:asciiTheme="minorHAnsi" w:hAnsiTheme="minorHAnsi" w:cstheme="minorHAnsi"/>
          <w:sz w:val="22"/>
          <w:szCs w:val="22"/>
        </w:rPr>
        <w:t>evidence of impact</w:t>
      </w:r>
      <w:r w:rsidR="00F539C8" w:rsidRPr="00C012FC">
        <w:rPr>
          <w:rFonts w:asciiTheme="minorHAnsi" w:hAnsiTheme="minorHAnsi" w:cstheme="minorHAnsi"/>
          <w:sz w:val="22"/>
          <w:szCs w:val="22"/>
        </w:rPr>
        <w:t xml:space="preserve">. Outcomes-based approaches to </w:t>
      </w:r>
      <w:r w:rsidR="00F539C8" w:rsidRPr="00C012FC">
        <w:rPr>
          <w:rFonts w:asciiTheme="minorHAnsi" w:hAnsiTheme="minorHAnsi" w:cstheme="minorHAnsi"/>
          <w:sz w:val="22"/>
          <w:szCs w:val="22"/>
        </w:rPr>
        <w:lastRenderedPageBreak/>
        <w:t>educational evaluation need to attend closely to the question of impact</w:t>
      </w:r>
      <w:r w:rsidR="00F539C8" w:rsidRPr="00C012FC">
        <w:rPr>
          <w:rFonts w:asciiTheme="minorHAnsi" w:hAnsiTheme="minorHAnsi" w:cstheme="minorHAnsi"/>
          <w:i/>
          <w:sz w:val="22"/>
          <w:szCs w:val="22"/>
        </w:rPr>
        <w:t xml:space="preserve"> </w:t>
      </w:r>
      <w:r w:rsidR="00807BF9" w:rsidRPr="00C012FC">
        <w:rPr>
          <w:rFonts w:asciiTheme="minorHAnsi" w:hAnsiTheme="minorHAnsi" w:cstheme="minorHAnsi"/>
          <w:i/>
          <w:sz w:val="22"/>
          <w:szCs w:val="22"/>
        </w:rPr>
        <w:t>–</w:t>
      </w:r>
      <w:r w:rsidR="00F539C8" w:rsidRPr="00C012FC">
        <w:rPr>
          <w:rFonts w:asciiTheme="minorHAnsi" w:hAnsiTheme="minorHAnsi" w:cstheme="minorHAnsi"/>
          <w:i/>
          <w:sz w:val="22"/>
          <w:szCs w:val="22"/>
        </w:rPr>
        <w:t xml:space="preserve"> </w:t>
      </w:r>
      <w:r w:rsidR="00807BF9" w:rsidRPr="00C012FC">
        <w:rPr>
          <w:rFonts w:asciiTheme="minorHAnsi" w:hAnsiTheme="minorHAnsi" w:cstheme="minorHAnsi"/>
          <w:i/>
          <w:sz w:val="22"/>
          <w:szCs w:val="22"/>
        </w:rPr>
        <w:t>Impact o</w:t>
      </w:r>
      <w:r w:rsidR="00F539C8" w:rsidRPr="00C012FC">
        <w:rPr>
          <w:rFonts w:asciiTheme="minorHAnsi" w:hAnsiTheme="minorHAnsi" w:cstheme="minorHAnsi"/>
          <w:i/>
          <w:sz w:val="22"/>
          <w:szCs w:val="22"/>
        </w:rPr>
        <w:t>n what? For whom?</w:t>
      </w:r>
      <w:r w:rsidR="0005459F" w:rsidRPr="00C012FC">
        <w:rPr>
          <w:rFonts w:asciiTheme="minorHAnsi" w:hAnsiTheme="minorHAnsi" w:cstheme="minorHAnsi"/>
          <w:sz w:val="22"/>
          <w:szCs w:val="22"/>
        </w:rPr>
        <w:t xml:space="preserve"> </w:t>
      </w:r>
      <w:r w:rsidR="0074752B" w:rsidRPr="00C012FC">
        <w:rPr>
          <w:rFonts w:asciiTheme="minorHAnsi" w:hAnsiTheme="minorHAnsi" w:cstheme="minorHAnsi"/>
          <w:sz w:val="22"/>
          <w:szCs w:val="22"/>
        </w:rPr>
        <w:t>In their review of educators’ professional learning needs in Ontario, Campbell et al</w:t>
      </w:r>
      <w:r w:rsidRPr="00C012FC">
        <w:rPr>
          <w:rFonts w:asciiTheme="minorHAnsi" w:hAnsiTheme="minorHAnsi" w:cstheme="minorHAnsi"/>
          <w:sz w:val="22"/>
          <w:szCs w:val="22"/>
        </w:rPr>
        <w:t>.</w:t>
      </w:r>
      <w:r w:rsidR="0074752B" w:rsidRPr="00C012FC">
        <w:rPr>
          <w:rFonts w:asciiTheme="minorHAnsi" w:hAnsiTheme="minorHAnsi" w:cstheme="minorHAnsi"/>
          <w:sz w:val="22"/>
          <w:szCs w:val="22"/>
        </w:rPr>
        <w:t xml:space="preserve"> (2017:9) call for ‘</w:t>
      </w:r>
      <w:r w:rsidR="0074752B" w:rsidRPr="00C012FC">
        <w:rPr>
          <w:rFonts w:asciiTheme="minorHAnsi" w:hAnsiTheme="minorHAnsi" w:cs="AGaramondPro-Regular"/>
          <w:sz w:val="22"/>
          <w:szCs w:val="22"/>
          <w:lang w:val="en-GB"/>
        </w:rPr>
        <w:t xml:space="preserve">a new collaborative professionalism of respect and support connected to students’ learning, families’ engagement, and community development for educational equity, excellence, and </w:t>
      </w:r>
      <w:r w:rsidR="0074752B" w:rsidRPr="005A25A5">
        <w:rPr>
          <w:rFonts w:asciiTheme="minorHAnsi" w:hAnsiTheme="minorHAnsi" w:cs="AGaramondPro-Regular"/>
          <w:color w:val="auto"/>
          <w:sz w:val="22"/>
          <w:szCs w:val="22"/>
          <w:lang w:val="en-GB"/>
        </w:rPr>
        <w:t>well-being’.</w:t>
      </w:r>
      <w:r w:rsidR="005A25A5" w:rsidRPr="005A25A5">
        <w:rPr>
          <w:rFonts w:asciiTheme="minorHAnsi" w:hAnsiTheme="minorHAnsi" w:cs="AGaramondPro-Regular"/>
          <w:color w:val="auto"/>
          <w:sz w:val="22"/>
          <w:szCs w:val="22"/>
          <w:lang w:val="en-GB"/>
        </w:rPr>
        <w:t xml:space="preserve"> </w:t>
      </w:r>
      <w:r w:rsidR="005A25A5">
        <w:rPr>
          <w:rFonts w:asciiTheme="minorHAnsi" w:hAnsiTheme="minorHAnsi" w:cstheme="minorHAnsi"/>
          <w:color w:val="auto"/>
          <w:sz w:val="22"/>
          <w:szCs w:val="22"/>
        </w:rPr>
        <w:t>T</w:t>
      </w:r>
      <w:r w:rsidR="005A25A5" w:rsidRPr="005A25A5">
        <w:rPr>
          <w:rFonts w:asciiTheme="minorHAnsi" w:hAnsiTheme="minorHAnsi" w:cstheme="minorHAnsi"/>
          <w:color w:val="auto"/>
          <w:sz w:val="22"/>
          <w:szCs w:val="22"/>
        </w:rPr>
        <w:t>he creation of evaluation and competency frameworks can benefit from the input of multiple stakehol</w:t>
      </w:r>
      <w:r w:rsidR="00F83E63">
        <w:rPr>
          <w:rFonts w:asciiTheme="minorHAnsi" w:hAnsiTheme="minorHAnsi" w:cstheme="minorHAnsi"/>
          <w:color w:val="auto"/>
          <w:sz w:val="22"/>
          <w:szCs w:val="22"/>
        </w:rPr>
        <w:t xml:space="preserve">ders with diverse experiences. </w:t>
      </w:r>
      <w:r w:rsidR="005A25A5" w:rsidRPr="005A25A5">
        <w:rPr>
          <w:rFonts w:asciiTheme="minorHAnsi" w:hAnsiTheme="minorHAnsi" w:cstheme="minorHAnsi"/>
          <w:color w:val="auto"/>
          <w:sz w:val="22"/>
          <w:szCs w:val="22"/>
        </w:rPr>
        <w:t>Such discussions can foster shared understanding, awareness and dialogue among all stakeholders</w:t>
      </w:r>
      <w:r w:rsidR="00CE1191">
        <w:rPr>
          <w:rFonts w:asciiTheme="minorHAnsi" w:hAnsiTheme="minorHAnsi" w:cstheme="minorHAnsi"/>
          <w:color w:val="auto"/>
          <w:sz w:val="22"/>
          <w:szCs w:val="22"/>
        </w:rPr>
        <w:t>,</w:t>
      </w:r>
      <w:r w:rsidR="005A25A5" w:rsidRPr="005A25A5">
        <w:rPr>
          <w:rFonts w:asciiTheme="minorHAnsi" w:hAnsiTheme="minorHAnsi" w:cstheme="minorHAnsi"/>
          <w:color w:val="auto"/>
          <w:sz w:val="22"/>
          <w:szCs w:val="22"/>
        </w:rPr>
        <w:t xml:space="preserve"> and </w:t>
      </w:r>
      <w:r w:rsidR="00CE1191">
        <w:rPr>
          <w:rFonts w:asciiTheme="minorHAnsi" w:hAnsiTheme="minorHAnsi" w:cstheme="minorHAnsi"/>
          <w:color w:val="auto"/>
          <w:sz w:val="22"/>
          <w:szCs w:val="22"/>
        </w:rPr>
        <w:t xml:space="preserve">serve to emphasise </w:t>
      </w:r>
      <w:r w:rsidR="005A25A5" w:rsidRPr="005A25A5">
        <w:rPr>
          <w:rFonts w:asciiTheme="minorHAnsi" w:hAnsiTheme="minorHAnsi" w:cstheme="minorHAnsi"/>
          <w:color w:val="auto"/>
          <w:sz w:val="22"/>
          <w:szCs w:val="22"/>
        </w:rPr>
        <w:t xml:space="preserve">that preparing </w:t>
      </w:r>
      <w:r w:rsidR="00AE7688">
        <w:rPr>
          <w:rFonts w:asciiTheme="minorHAnsi" w:hAnsiTheme="minorHAnsi" w:cstheme="minorHAnsi"/>
          <w:color w:val="auto"/>
          <w:sz w:val="22"/>
          <w:szCs w:val="22"/>
        </w:rPr>
        <w:t xml:space="preserve">competent </w:t>
      </w:r>
      <w:r w:rsidR="005A25A5" w:rsidRPr="005A25A5">
        <w:rPr>
          <w:rFonts w:asciiTheme="minorHAnsi" w:hAnsiTheme="minorHAnsi" w:cstheme="minorHAnsi"/>
          <w:color w:val="auto"/>
          <w:sz w:val="22"/>
          <w:szCs w:val="22"/>
        </w:rPr>
        <w:t>new teachers goes beyond building their subject and pedagogical knowledge.  Effective ITE al</w:t>
      </w:r>
      <w:r w:rsidR="00AE7688">
        <w:rPr>
          <w:rFonts w:asciiTheme="minorHAnsi" w:hAnsiTheme="minorHAnsi" w:cstheme="minorHAnsi"/>
          <w:color w:val="auto"/>
          <w:sz w:val="22"/>
          <w:szCs w:val="22"/>
        </w:rPr>
        <w:t>so requires providers to foster</w:t>
      </w:r>
      <w:r w:rsidR="005A25A5" w:rsidRPr="005A25A5">
        <w:rPr>
          <w:rFonts w:asciiTheme="minorHAnsi" w:hAnsiTheme="minorHAnsi" w:cstheme="minorHAnsi"/>
          <w:color w:val="auto"/>
          <w:sz w:val="22"/>
          <w:szCs w:val="22"/>
        </w:rPr>
        <w:t xml:space="preserve"> professionalism, which includes developing teachers’ identity, commitment, learning, (self-)</w:t>
      </w:r>
      <w:r w:rsidR="003F4F80">
        <w:rPr>
          <w:rFonts w:asciiTheme="minorHAnsi" w:hAnsiTheme="minorHAnsi" w:cstheme="minorHAnsi"/>
          <w:color w:val="auto"/>
          <w:sz w:val="22"/>
          <w:szCs w:val="22"/>
        </w:rPr>
        <w:t xml:space="preserve"> </w:t>
      </w:r>
      <w:r w:rsidR="005A25A5" w:rsidRPr="005A25A5">
        <w:rPr>
          <w:rFonts w:asciiTheme="minorHAnsi" w:hAnsiTheme="minorHAnsi" w:cstheme="minorHAnsi"/>
          <w:color w:val="auto"/>
          <w:sz w:val="22"/>
          <w:szCs w:val="22"/>
        </w:rPr>
        <w:t>evaluation and reflection</w:t>
      </w:r>
      <w:r w:rsidR="005A25A5">
        <w:rPr>
          <w:rFonts w:asciiTheme="minorHAnsi" w:hAnsiTheme="minorHAnsi" w:cstheme="minorHAnsi"/>
          <w:color w:val="auto"/>
          <w:sz w:val="22"/>
          <w:szCs w:val="22"/>
        </w:rPr>
        <w:t xml:space="preserve"> (Caena, 2014)</w:t>
      </w:r>
      <w:r w:rsidR="005A25A5" w:rsidRPr="005A25A5">
        <w:rPr>
          <w:rFonts w:asciiTheme="minorHAnsi" w:hAnsiTheme="minorHAnsi" w:cstheme="minorHAnsi"/>
          <w:color w:val="auto"/>
          <w:sz w:val="22"/>
          <w:szCs w:val="22"/>
        </w:rPr>
        <w:t xml:space="preserve"> </w:t>
      </w:r>
      <w:r w:rsidR="005A25A5">
        <w:rPr>
          <w:rFonts w:asciiTheme="minorHAnsi" w:hAnsiTheme="minorHAnsi" w:cstheme="minorHAnsi"/>
          <w:color w:val="auto"/>
          <w:sz w:val="22"/>
          <w:szCs w:val="22"/>
        </w:rPr>
        <w:t>-</w:t>
      </w:r>
      <w:r w:rsidR="005A25A5" w:rsidRPr="005A25A5">
        <w:rPr>
          <w:rFonts w:asciiTheme="minorHAnsi" w:hAnsiTheme="minorHAnsi" w:cstheme="minorHAnsi"/>
          <w:color w:val="auto"/>
          <w:sz w:val="22"/>
          <w:szCs w:val="22"/>
        </w:rPr>
        <w:t xml:space="preserve"> critical competencies that may help teachers remain in the profession long-term.</w:t>
      </w:r>
    </w:p>
    <w:p w:rsidR="004C4F16" w:rsidRPr="00C012FC" w:rsidRDefault="004C4F16" w:rsidP="004C4F16">
      <w:pPr>
        <w:autoSpaceDE w:val="0"/>
        <w:autoSpaceDN w:val="0"/>
        <w:adjustRightInd w:val="0"/>
        <w:jc w:val="both"/>
        <w:rPr>
          <w:rFonts w:asciiTheme="minorHAnsi" w:hAnsiTheme="minorHAnsi" w:cs="AGaramondPro-Regular"/>
          <w:sz w:val="22"/>
          <w:szCs w:val="22"/>
          <w:lang w:val="en-GB"/>
        </w:rPr>
      </w:pPr>
    </w:p>
    <w:p w:rsidR="00450467" w:rsidRDefault="00450467" w:rsidP="00000C89">
      <w:pPr>
        <w:rPr>
          <w:rFonts w:asciiTheme="minorHAnsi" w:hAnsiTheme="minorHAnsi" w:cs="AGaramondPro-Regular"/>
          <w:sz w:val="22"/>
          <w:szCs w:val="22"/>
          <w:lang w:val="en-GB"/>
        </w:rPr>
      </w:pPr>
    </w:p>
    <w:p w:rsidR="004C4F16" w:rsidRPr="003C185F" w:rsidRDefault="00864FFE" w:rsidP="004C4F16">
      <w:pPr>
        <w:spacing w:after="160" w:line="259" w:lineRule="auto"/>
        <w:rPr>
          <w:rFonts w:asciiTheme="minorHAnsi" w:eastAsiaTheme="minorEastAsia" w:hAnsiTheme="minorHAnsi" w:cstheme="minorHAnsi"/>
          <w:b/>
          <w:color w:val="auto"/>
          <w:sz w:val="22"/>
          <w:szCs w:val="22"/>
        </w:rPr>
      </w:pPr>
      <w:r w:rsidRPr="003C185F">
        <w:rPr>
          <w:rFonts w:asciiTheme="minorHAnsi" w:eastAsiaTheme="minorEastAsia" w:hAnsiTheme="minorHAnsi" w:cstheme="minorHAnsi"/>
          <w:b/>
          <w:color w:val="auto"/>
          <w:sz w:val="22"/>
          <w:szCs w:val="22"/>
        </w:rPr>
        <w:t>References</w:t>
      </w:r>
    </w:p>
    <w:p w:rsidR="001C3673" w:rsidRPr="004C4F16" w:rsidRDefault="001C3673" w:rsidP="00423E20">
      <w:pPr>
        <w:ind w:left="720" w:hanging="720"/>
        <w:contextualSpacing/>
        <w:rPr>
          <w:rFonts w:asciiTheme="minorHAnsi" w:hAnsiTheme="minorHAnsi" w:cstheme="minorHAnsi"/>
          <w:sz w:val="18"/>
          <w:szCs w:val="18"/>
        </w:rPr>
      </w:pPr>
      <w:r w:rsidRPr="004C4F16">
        <w:rPr>
          <w:rFonts w:asciiTheme="minorHAnsi" w:hAnsiTheme="minorHAnsi" w:cstheme="minorHAnsi"/>
          <w:sz w:val="18"/>
          <w:szCs w:val="18"/>
        </w:rPr>
        <w:t xml:space="preserve">Allen, R., Belfield, C., Greaves, E., Sharp, C. and Walker, M. (2016) The Longer-Term Costs and Benefits of Different Initial Teacher Training Routes. </w:t>
      </w:r>
      <w:hyperlink r:id="rId16" w:history="1">
        <w:r w:rsidRPr="004C4F16">
          <w:rPr>
            <w:rStyle w:val="Hyperlink"/>
            <w:rFonts w:asciiTheme="minorHAnsi" w:hAnsiTheme="minorHAnsi" w:cstheme="minorHAnsi"/>
            <w:sz w:val="18"/>
            <w:szCs w:val="18"/>
          </w:rPr>
          <w:t>https://www.ifs.org.uk/uploads/publications/comms/R118.pdf</w:t>
        </w:r>
      </w:hyperlink>
      <w:r w:rsidRPr="004C4F16">
        <w:rPr>
          <w:rFonts w:asciiTheme="minorHAnsi" w:hAnsiTheme="minorHAnsi" w:cstheme="minorHAnsi"/>
          <w:sz w:val="18"/>
          <w:szCs w:val="18"/>
        </w:rPr>
        <w:t xml:space="preserve"> </w:t>
      </w:r>
    </w:p>
    <w:p w:rsidR="00703B45" w:rsidRPr="004C4F16" w:rsidRDefault="00703B45"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Bacchi, C. (2009) </w:t>
      </w:r>
      <w:r w:rsidRPr="004C4F16">
        <w:rPr>
          <w:rFonts w:asciiTheme="minorHAnsi" w:eastAsiaTheme="minorEastAsia" w:hAnsiTheme="minorHAnsi" w:cstheme="minorHAnsi"/>
          <w:i/>
          <w:color w:val="auto"/>
          <w:sz w:val="18"/>
          <w:szCs w:val="18"/>
        </w:rPr>
        <w:t>Analysing Policy: What’s the problem represented to be?</w:t>
      </w:r>
      <w:r w:rsidRPr="004C4F16">
        <w:rPr>
          <w:rFonts w:asciiTheme="minorHAnsi" w:eastAsiaTheme="minorEastAsia" w:hAnsiTheme="minorHAnsi" w:cstheme="minorHAnsi"/>
          <w:color w:val="auto"/>
          <w:sz w:val="18"/>
          <w:szCs w:val="18"/>
        </w:rPr>
        <w:t xml:space="preserve"> Frenchs Forest NSW: Pearson.</w:t>
      </w:r>
    </w:p>
    <w:p w:rsidR="008D1C27" w:rsidRDefault="008D1C27" w:rsidP="00174F88">
      <w:pPr>
        <w:ind w:left="720" w:hanging="720"/>
        <w:contextualSpacing/>
        <w:rPr>
          <w:rFonts w:asciiTheme="minorHAnsi" w:hAnsiTheme="minorHAnsi" w:cstheme="minorHAnsi"/>
          <w:sz w:val="18"/>
          <w:szCs w:val="18"/>
        </w:rPr>
      </w:pPr>
      <w:r>
        <w:rPr>
          <w:rFonts w:asciiTheme="minorHAnsi" w:hAnsiTheme="minorHAnsi" w:cstheme="minorHAnsi"/>
          <w:sz w:val="18"/>
          <w:szCs w:val="18"/>
        </w:rPr>
        <w:t xml:space="preserve">Bahr, J. (2016) </w:t>
      </w:r>
      <w:r w:rsidRPr="008D1C27">
        <w:rPr>
          <w:rFonts w:asciiTheme="minorHAnsi" w:hAnsiTheme="minorHAnsi" w:cstheme="minorHAnsi"/>
          <w:i/>
          <w:sz w:val="18"/>
          <w:szCs w:val="18"/>
        </w:rPr>
        <w:t>Building Quality in Teaching and Teacher Education</w:t>
      </w:r>
      <w:r>
        <w:rPr>
          <w:rFonts w:asciiTheme="minorHAnsi" w:hAnsiTheme="minorHAnsi" w:cstheme="minorHAnsi"/>
          <w:sz w:val="18"/>
          <w:szCs w:val="18"/>
        </w:rPr>
        <w:t>,</w:t>
      </w:r>
      <w:r w:rsidRPr="008D1C27">
        <w:rPr>
          <w:rFonts w:asciiTheme="minorHAnsi" w:hAnsiTheme="minorHAnsi" w:cstheme="minorHAnsi"/>
          <w:sz w:val="18"/>
          <w:szCs w:val="18"/>
        </w:rPr>
        <w:t xml:space="preserve"> </w:t>
      </w:r>
      <w:r>
        <w:rPr>
          <w:rFonts w:asciiTheme="minorHAnsi" w:hAnsiTheme="minorHAnsi" w:cstheme="minorHAnsi"/>
          <w:sz w:val="18"/>
          <w:szCs w:val="18"/>
        </w:rPr>
        <w:t>Camberwell: ACER Press.</w:t>
      </w:r>
    </w:p>
    <w:p w:rsidR="00174F88" w:rsidRPr="004C4F16" w:rsidRDefault="00174F88" w:rsidP="00174F88">
      <w:pPr>
        <w:ind w:left="720" w:hanging="720"/>
        <w:contextualSpacing/>
        <w:rPr>
          <w:rFonts w:asciiTheme="minorHAnsi" w:hAnsiTheme="minorHAnsi" w:cstheme="minorHAnsi"/>
          <w:sz w:val="18"/>
          <w:szCs w:val="18"/>
        </w:rPr>
      </w:pPr>
      <w:r w:rsidRPr="004C4F16">
        <w:rPr>
          <w:rFonts w:asciiTheme="minorHAnsi" w:hAnsiTheme="minorHAnsi" w:cstheme="minorHAnsi"/>
          <w:sz w:val="18"/>
          <w:szCs w:val="18"/>
        </w:rPr>
        <w:t>Barber, M. &amp;</w:t>
      </w:r>
      <w:r w:rsidR="00F823B7">
        <w:rPr>
          <w:rFonts w:asciiTheme="minorHAnsi" w:hAnsiTheme="minorHAnsi" w:cstheme="minorHAnsi"/>
          <w:sz w:val="18"/>
          <w:szCs w:val="18"/>
        </w:rPr>
        <w:t xml:space="preserve"> Mourshed, M. (2007)</w:t>
      </w:r>
      <w:r w:rsidRPr="004C4F16">
        <w:rPr>
          <w:rFonts w:asciiTheme="minorHAnsi" w:hAnsiTheme="minorHAnsi" w:cstheme="minorHAnsi"/>
          <w:sz w:val="18"/>
          <w:szCs w:val="18"/>
        </w:rPr>
        <w:t xml:space="preserve"> How the World’s Best Performing School Systems Come Out On Top. New York, NY: McKinsey &amp; Company.</w:t>
      </w:r>
    </w:p>
    <w:p w:rsidR="000F1419" w:rsidRDefault="000F1419" w:rsidP="000F1419">
      <w:pPr>
        <w:ind w:left="720" w:hanging="720"/>
        <w:contextualSpacing/>
        <w:rPr>
          <w:rFonts w:asciiTheme="minorHAnsi" w:hAnsiTheme="minorHAnsi" w:cstheme="minorHAnsi"/>
          <w:sz w:val="18"/>
          <w:szCs w:val="18"/>
        </w:rPr>
      </w:pPr>
      <w:r w:rsidRPr="000F1419">
        <w:rPr>
          <w:rFonts w:asciiTheme="minorHAnsi" w:hAnsiTheme="minorHAnsi" w:cstheme="minorHAnsi"/>
          <w:sz w:val="18"/>
          <w:szCs w:val="18"/>
        </w:rPr>
        <w:t>Baumert, J., Blum, W. &amp; Neubrand, M. (2002)Drawing the lessons from PISA 2000 – L</w:t>
      </w:r>
      <w:r>
        <w:rPr>
          <w:rFonts w:asciiTheme="minorHAnsi" w:hAnsiTheme="minorHAnsi" w:cstheme="minorHAnsi"/>
          <w:sz w:val="18"/>
          <w:szCs w:val="18"/>
        </w:rPr>
        <w:t xml:space="preserve">ong-term research implications: </w:t>
      </w:r>
      <w:r w:rsidRPr="000F1419">
        <w:rPr>
          <w:rFonts w:asciiTheme="minorHAnsi" w:hAnsiTheme="minorHAnsi" w:cstheme="minorHAnsi"/>
          <w:sz w:val="18"/>
          <w:szCs w:val="18"/>
        </w:rPr>
        <w:t>Gaining a better understanding of the relationship bet</w:t>
      </w:r>
      <w:r>
        <w:rPr>
          <w:rFonts w:asciiTheme="minorHAnsi" w:hAnsiTheme="minorHAnsi" w:cstheme="minorHAnsi"/>
          <w:sz w:val="18"/>
          <w:szCs w:val="18"/>
        </w:rPr>
        <w:t xml:space="preserve">ween system inputs and learning </w:t>
      </w:r>
      <w:r w:rsidRPr="000F1419">
        <w:rPr>
          <w:rFonts w:asciiTheme="minorHAnsi" w:hAnsiTheme="minorHAnsi" w:cstheme="minorHAnsi"/>
          <w:sz w:val="18"/>
          <w:szCs w:val="18"/>
        </w:rPr>
        <w:t>outcomes by assessing instructional and learning processes as mediating factors. Symposium on Ass</w:t>
      </w:r>
      <w:r>
        <w:rPr>
          <w:rFonts w:asciiTheme="minorHAnsi" w:hAnsiTheme="minorHAnsi" w:cstheme="minorHAnsi"/>
          <w:sz w:val="18"/>
          <w:szCs w:val="18"/>
        </w:rPr>
        <w:t xml:space="preserve">essing Policy Lessons from PISA, </w:t>
      </w:r>
      <w:r w:rsidRPr="000F1419">
        <w:rPr>
          <w:rFonts w:asciiTheme="minorHAnsi" w:hAnsiTheme="minorHAnsi" w:cstheme="minorHAnsi"/>
          <w:sz w:val="18"/>
          <w:szCs w:val="18"/>
        </w:rPr>
        <w:t>18-20 November 2002, Berlin.</w:t>
      </w:r>
      <w:r>
        <w:rPr>
          <w:rFonts w:asciiTheme="minorHAnsi" w:hAnsiTheme="minorHAnsi" w:cstheme="minorHAnsi"/>
          <w:sz w:val="18"/>
          <w:szCs w:val="18"/>
        </w:rPr>
        <w:t xml:space="preserve"> </w:t>
      </w:r>
      <w:hyperlink r:id="rId17" w:history="1">
        <w:r w:rsidRPr="00140EE0">
          <w:rPr>
            <w:rStyle w:val="Hyperlink"/>
            <w:rFonts w:asciiTheme="minorHAnsi" w:hAnsiTheme="minorHAnsi" w:cstheme="minorHAnsi"/>
            <w:sz w:val="18"/>
            <w:szCs w:val="18"/>
          </w:rPr>
          <w:t>https://www.mpib-berlin.mpg.de/Pisa/DrawingTheLessons.pdf</w:t>
        </w:r>
      </w:hyperlink>
      <w:r>
        <w:rPr>
          <w:rFonts w:asciiTheme="minorHAnsi" w:hAnsiTheme="minorHAnsi" w:cstheme="minorHAnsi"/>
          <w:sz w:val="18"/>
          <w:szCs w:val="18"/>
        </w:rPr>
        <w:t xml:space="preserve"> </w:t>
      </w:r>
    </w:p>
    <w:p w:rsidR="00423E20" w:rsidRPr="004C4F16" w:rsidRDefault="00423E20" w:rsidP="000F1419">
      <w:pPr>
        <w:ind w:left="720" w:hanging="720"/>
        <w:contextualSpacing/>
        <w:rPr>
          <w:rFonts w:asciiTheme="minorHAnsi" w:hAnsiTheme="minorHAnsi" w:cstheme="minorHAnsi"/>
          <w:sz w:val="18"/>
          <w:szCs w:val="18"/>
        </w:rPr>
      </w:pPr>
      <w:r w:rsidRPr="004C4F16">
        <w:rPr>
          <w:rFonts w:asciiTheme="minorHAnsi" w:hAnsiTheme="minorHAnsi" w:cstheme="minorHAnsi"/>
          <w:sz w:val="18"/>
          <w:szCs w:val="18"/>
        </w:rPr>
        <w:t xml:space="preserve">Boyd, D., Grossman,P., Lankford, H.,  Loeb, S. &amp; Wyckoff, J. (2006) </w:t>
      </w:r>
      <w:r w:rsidRPr="004C4F16">
        <w:rPr>
          <w:rFonts w:asciiTheme="minorHAnsi" w:hAnsiTheme="minorHAnsi" w:cstheme="minorHAnsi"/>
          <w:i/>
          <w:sz w:val="18"/>
          <w:szCs w:val="18"/>
        </w:rPr>
        <w:t>Education Finance and Policy</w:t>
      </w:r>
      <w:r w:rsidRPr="004C4F16">
        <w:rPr>
          <w:rFonts w:asciiTheme="minorHAnsi" w:hAnsiTheme="minorHAnsi" w:cstheme="minorHAnsi"/>
          <w:sz w:val="18"/>
          <w:szCs w:val="18"/>
        </w:rPr>
        <w:t xml:space="preserve">, 1(2), 176-216. </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British Educational Research Association-RSA (2014) Research and the Teaching Profession. </w:t>
      </w:r>
      <w:hyperlink r:id="rId18" w:history="1">
        <w:r w:rsidR="009254B7" w:rsidRPr="004C4F16">
          <w:rPr>
            <w:rStyle w:val="Hyperlink"/>
            <w:rFonts w:asciiTheme="minorHAnsi" w:eastAsiaTheme="minorEastAsia" w:hAnsiTheme="minorHAnsi" w:cstheme="minorHAnsi"/>
            <w:sz w:val="18"/>
            <w:szCs w:val="18"/>
          </w:rPr>
          <w:t>https://www.bera.ac.uk/wp-content/uploads/2013/12/BERA-RSA-Research-Teaching-Profession-FULL-REPORT-for-web.pdf</w:t>
        </w:r>
      </w:hyperlink>
      <w:r w:rsidR="009254B7" w:rsidRPr="004C4F16">
        <w:rPr>
          <w:rFonts w:asciiTheme="minorHAnsi" w:eastAsiaTheme="minorEastAsia" w:hAnsiTheme="minorHAnsi" w:cstheme="minorHAnsi"/>
          <w:color w:val="auto"/>
          <w:sz w:val="18"/>
          <w:szCs w:val="18"/>
        </w:rPr>
        <w:t xml:space="preserve"> </w:t>
      </w:r>
    </w:p>
    <w:p w:rsidR="000661AB" w:rsidRPr="004C4F16" w:rsidRDefault="000661AB" w:rsidP="000661AB">
      <w:pPr>
        <w:autoSpaceDE w:val="0"/>
        <w:autoSpaceDN w:val="0"/>
        <w:adjustRightInd w:val="0"/>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Caena, F. (2014) Teacher Competence Frameworks in Europe: policy-as-discourse and policy-as-practice’, </w:t>
      </w:r>
      <w:r w:rsidRPr="004C4F16">
        <w:rPr>
          <w:rFonts w:asciiTheme="minorHAnsi" w:eastAsiaTheme="minorEastAsia" w:hAnsiTheme="minorHAnsi" w:cstheme="minorHAnsi"/>
          <w:i/>
          <w:color w:val="auto"/>
          <w:sz w:val="18"/>
          <w:szCs w:val="18"/>
        </w:rPr>
        <w:t>European Journal of Education</w:t>
      </w:r>
      <w:r w:rsidRPr="004C4F16">
        <w:rPr>
          <w:rFonts w:asciiTheme="minorHAnsi" w:eastAsiaTheme="minorEastAsia" w:hAnsiTheme="minorHAnsi" w:cstheme="minorHAnsi"/>
          <w:color w:val="auto"/>
          <w:sz w:val="18"/>
          <w:szCs w:val="18"/>
        </w:rPr>
        <w:t xml:space="preserve">, 49(3), 311–331. </w:t>
      </w:r>
    </w:p>
    <w:p w:rsidR="000661AB" w:rsidRPr="004C4F16" w:rsidRDefault="000661AB" w:rsidP="000661AB">
      <w:pPr>
        <w:autoSpaceDE w:val="0"/>
        <w:autoSpaceDN w:val="0"/>
        <w:adjustRightInd w:val="0"/>
        <w:ind w:left="720" w:hanging="720"/>
        <w:rPr>
          <w:rFonts w:asciiTheme="minorHAnsi" w:eastAsiaTheme="minorEastAsia" w:hAnsiTheme="minorHAnsi" w:cstheme="minorHAnsi"/>
          <w:color w:val="FF0000"/>
          <w:sz w:val="18"/>
          <w:szCs w:val="18"/>
        </w:rPr>
      </w:pPr>
      <w:r w:rsidRPr="004C4F16">
        <w:rPr>
          <w:rFonts w:asciiTheme="minorHAnsi" w:eastAsiaTheme="minorEastAsia" w:hAnsiTheme="minorHAnsi" w:cstheme="minorHAnsi"/>
          <w:color w:val="auto"/>
          <w:sz w:val="18"/>
          <w:szCs w:val="18"/>
        </w:rPr>
        <w:t xml:space="preserve">Caena, F. &amp; Margiotta, U. (2010) European Teacher Education: A Fractal Perspective Tackling Complexity, </w:t>
      </w:r>
      <w:r w:rsidRPr="000F1419">
        <w:rPr>
          <w:rFonts w:asciiTheme="minorHAnsi" w:eastAsiaTheme="minorEastAsia" w:hAnsiTheme="minorHAnsi" w:cstheme="minorHAnsi"/>
          <w:i/>
          <w:color w:val="auto"/>
          <w:sz w:val="18"/>
          <w:szCs w:val="18"/>
        </w:rPr>
        <w:t>European Educational Research Journal</w:t>
      </w:r>
      <w:r w:rsidRPr="004C4F16">
        <w:rPr>
          <w:rFonts w:asciiTheme="minorHAnsi" w:eastAsiaTheme="minorEastAsia" w:hAnsiTheme="minorHAnsi" w:cstheme="minorHAnsi"/>
          <w:color w:val="auto"/>
          <w:sz w:val="18"/>
          <w:szCs w:val="18"/>
        </w:rPr>
        <w:t>, 9(3), 317–331</w:t>
      </w:r>
      <w:r w:rsidRPr="004C4F16">
        <w:rPr>
          <w:rFonts w:asciiTheme="minorHAnsi" w:eastAsiaTheme="minorEastAsia" w:hAnsiTheme="minorHAnsi" w:cstheme="minorHAnsi"/>
          <w:color w:val="FF0000"/>
          <w:sz w:val="18"/>
          <w:szCs w:val="18"/>
        </w:rPr>
        <w:t xml:space="preserve">. </w:t>
      </w:r>
    </w:p>
    <w:p w:rsidR="00D3328C" w:rsidRPr="004C4F16" w:rsidRDefault="00D3328C" w:rsidP="00D3328C">
      <w:pPr>
        <w:autoSpaceDE w:val="0"/>
        <w:autoSpaceDN w:val="0"/>
        <w:adjustRightInd w:val="0"/>
        <w:ind w:left="720" w:hanging="720"/>
        <w:rPr>
          <w:rFonts w:asciiTheme="minorHAnsi" w:eastAsiaTheme="minorEastAsia" w:hAnsiTheme="minorHAnsi" w:cs="NewAster"/>
          <w:color w:val="auto"/>
          <w:sz w:val="18"/>
          <w:szCs w:val="18"/>
          <w:lang w:val="en-GB"/>
        </w:rPr>
      </w:pPr>
      <w:r w:rsidRPr="004C4F16">
        <w:rPr>
          <w:rFonts w:asciiTheme="minorHAnsi" w:eastAsiaTheme="minorEastAsia" w:hAnsiTheme="minorHAnsi" w:cs="NewAster"/>
          <w:color w:val="auto"/>
          <w:sz w:val="18"/>
          <w:szCs w:val="18"/>
          <w:lang w:val="en-GB"/>
        </w:rPr>
        <w:t>Campbell, C., Osmond-Johnson, P., Faubert, B., Zeichner, K., &amp; Hobbs-Johnson, A. (with Brown,S., DaCosta, P., Hales, A., Kuehn, L., Sohn</w:t>
      </w:r>
      <w:r w:rsidR="00F823B7">
        <w:rPr>
          <w:rFonts w:asciiTheme="minorHAnsi" w:eastAsiaTheme="minorEastAsia" w:hAnsiTheme="minorHAnsi" w:cs="NewAster"/>
          <w:color w:val="auto"/>
          <w:sz w:val="18"/>
          <w:szCs w:val="18"/>
          <w:lang w:val="en-GB"/>
        </w:rPr>
        <w:t>, J., &amp; Steffensen, K.). (2017)</w:t>
      </w:r>
      <w:r w:rsidRPr="004C4F16">
        <w:rPr>
          <w:rFonts w:asciiTheme="minorHAnsi" w:eastAsiaTheme="minorEastAsia" w:hAnsiTheme="minorHAnsi" w:cs="NewAster"/>
          <w:color w:val="auto"/>
          <w:sz w:val="18"/>
          <w:szCs w:val="18"/>
          <w:lang w:val="en-GB"/>
        </w:rPr>
        <w:t xml:space="preserve"> The state of educators’ professional learning in Canada: Final research report. Oxford, OH: Learning Forward.</w:t>
      </w:r>
    </w:p>
    <w:p w:rsidR="00423E20" w:rsidRPr="004C4F16" w:rsidRDefault="00423E20" w:rsidP="00D3328C">
      <w:pPr>
        <w:autoSpaceDE w:val="0"/>
        <w:autoSpaceDN w:val="0"/>
        <w:adjustRightInd w:val="0"/>
        <w:ind w:left="720" w:hanging="720"/>
        <w:rPr>
          <w:rFonts w:asciiTheme="minorHAnsi" w:eastAsiaTheme="minorEastAsia" w:hAnsiTheme="minorHAnsi" w:cs="NewAster"/>
          <w:color w:val="auto"/>
          <w:sz w:val="18"/>
          <w:szCs w:val="18"/>
          <w:lang w:val="en-GB"/>
        </w:rPr>
      </w:pPr>
      <w:r w:rsidRPr="004C4F16">
        <w:rPr>
          <w:rFonts w:asciiTheme="minorHAnsi" w:eastAsiaTheme="minorEastAsia" w:hAnsiTheme="minorHAnsi" w:cs="NewAster"/>
          <w:color w:val="auto"/>
          <w:sz w:val="18"/>
          <w:szCs w:val="18"/>
          <w:lang w:val="en-GB"/>
        </w:rPr>
        <w:t>Ch</w:t>
      </w:r>
      <w:r w:rsidR="00807BF9" w:rsidRPr="004C4F16">
        <w:rPr>
          <w:rFonts w:asciiTheme="minorHAnsi" w:eastAsiaTheme="minorEastAsia" w:hAnsiTheme="minorHAnsi" w:cs="NewAster"/>
          <w:color w:val="auto"/>
          <w:sz w:val="18"/>
          <w:szCs w:val="18"/>
          <w:lang w:val="en-GB"/>
        </w:rPr>
        <w:t>ingos, M.,&amp; Peterson, P. (2011)</w:t>
      </w:r>
      <w:r w:rsidRPr="004C4F16">
        <w:rPr>
          <w:rFonts w:asciiTheme="minorHAnsi" w:eastAsiaTheme="minorEastAsia" w:hAnsiTheme="minorHAnsi" w:cs="NewAster"/>
          <w:color w:val="auto"/>
          <w:sz w:val="18"/>
          <w:szCs w:val="18"/>
          <w:lang w:val="en-GB"/>
        </w:rPr>
        <w:t xml:space="preserve"> It’s easier to pick a good teacher than to train one: Familiar and new results on the correlates of teacher effectiveness. </w:t>
      </w:r>
      <w:r w:rsidRPr="004C4F16">
        <w:rPr>
          <w:rFonts w:asciiTheme="minorHAnsi" w:eastAsiaTheme="minorEastAsia" w:hAnsiTheme="minorHAnsi" w:cs="NewAster"/>
          <w:i/>
          <w:color w:val="auto"/>
          <w:sz w:val="18"/>
          <w:szCs w:val="18"/>
          <w:lang w:val="en-GB"/>
        </w:rPr>
        <w:t>Economics of Education Review</w:t>
      </w:r>
      <w:r w:rsidRPr="004C4F16">
        <w:rPr>
          <w:rFonts w:asciiTheme="minorHAnsi" w:eastAsiaTheme="minorEastAsia" w:hAnsiTheme="minorHAnsi" w:cs="NewAster"/>
          <w:color w:val="auto"/>
          <w:sz w:val="18"/>
          <w:szCs w:val="18"/>
          <w:lang w:val="en-GB"/>
        </w:rPr>
        <w:t>, 30, 449–465.</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Cochran-Smith, M. (2005) The New Teacher Education: For Better or for Worse? </w:t>
      </w:r>
      <w:r w:rsidRPr="004C4F16">
        <w:rPr>
          <w:rFonts w:asciiTheme="minorHAnsi" w:eastAsiaTheme="minorEastAsia" w:hAnsiTheme="minorHAnsi" w:cstheme="minorHAnsi"/>
          <w:i/>
          <w:color w:val="auto"/>
          <w:sz w:val="18"/>
          <w:szCs w:val="18"/>
        </w:rPr>
        <w:t>Educational Researcher</w:t>
      </w:r>
      <w:r w:rsidRPr="004C4F16">
        <w:rPr>
          <w:rFonts w:asciiTheme="minorHAnsi" w:eastAsiaTheme="minorEastAsia" w:hAnsiTheme="minorHAnsi" w:cstheme="minorHAnsi"/>
          <w:color w:val="auto"/>
          <w:sz w:val="18"/>
          <w:szCs w:val="18"/>
        </w:rPr>
        <w:t xml:space="preserve"> 34 (7): 3–17.</w:t>
      </w:r>
    </w:p>
    <w:p w:rsidR="00577F97" w:rsidRPr="004C4F16" w:rsidRDefault="00577F97"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Cochran-Smith, M. (2009) The new teacher education in the United States: directions forward. In Furling, J., Cochran-Smith, M. &amp; Brennan, M. (Eds) </w:t>
      </w:r>
      <w:r w:rsidRPr="004C4F16">
        <w:rPr>
          <w:rFonts w:asciiTheme="minorHAnsi" w:eastAsiaTheme="minorEastAsia" w:hAnsiTheme="minorHAnsi" w:cstheme="minorHAnsi"/>
          <w:i/>
          <w:color w:val="auto"/>
          <w:sz w:val="18"/>
          <w:szCs w:val="18"/>
        </w:rPr>
        <w:t>Policy and Politics in Teacher Education. International Perspectives</w:t>
      </w:r>
      <w:r w:rsidRPr="004C4F16">
        <w:rPr>
          <w:rFonts w:asciiTheme="minorHAnsi" w:eastAsiaTheme="minorEastAsia" w:hAnsiTheme="minorHAnsi" w:cstheme="minorHAnsi"/>
          <w:color w:val="auto"/>
          <w:sz w:val="18"/>
          <w:szCs w:val="18"/>
        </w:rPr>
        <w:t>. London: Routledge, pp. 9-20.</w:t>
      </w:r>
    </w:p>
    <w:p w:rsidR="00C947CD" w:rsidRPr="004C4F16" w:rsidRDefault="00807BF9"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Cochran-Smith, M. &amp;</w:t>
      </w:r>
      <w:r w:rsidR="00C947CD" w:rsidRPr="004C4F16">
        <w:rPr>
          <w:rFonts w:asciiTheme="minorHAnsi" w:eastAsiaTheme="minorEastAsia" w:hAnsiTheme="minorHAnsi" w:cstheme="minorHAnsi"/>
          <w:color w:val="auto"/>
          <w:sz w:val="18"/>
          <w:szCs w:val="18"/>
        </w:rPr>
        <w:t xml:space="preserve"> Zeichner, K. M. (Eds.) (2005) Studying teacher education: The report of the AERA Panel on Research and Teacher Education. Mahwah, NJ: LEA Publishers. </w:t>
      </w:r>
    </w:p>
    <w:p w:rsidR="00C947CD" w:rsidRPr="004C4F16" w:rsidRDefault="00807BF9"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Cochran-Smith. M. &amp;</w:t>
      </w:r>
      <w:r w:rsidR="00C947CD" w:rsidRPr="004C4F16">
        <w:rPr>
          <w:rFonts w:asciiTheme="minorHAnsi" w:eastAsiaTheme="minorEastAsia" w:hAnsiTheme="minorHAnsi" w:cstheme="minorHAnsi"/>
          <w:color w:val="auto"/>
          <w:sz w:val="18"/>
          <w:szCs w:val="18"/>
        </w:rPr>
        <w:t xml:space="preserve"> Fries, K. (2008) Research on teacher education: changing times, changing paradigms. In: Cochran-Smith, M., Feiman-Nemser, S., McIntyre, D. J. and Demers, K. E. (Eds.) </w:t>
      </w:r>
      <w:r w:rsidR="00C947CD" w:rsidRPr="004C4F16">
        <w:rPr>
          <w:rFonts w:asciiTheme="minorHAnsi" w:eastAsiaTheme="minorEastAsia" w:hAnsiTheme="minorHAnsi" w:cstheme="minorHAnsi"/>
          <w:i/>
          <w:color w:val="auto"/>
          <w:sz w:val="18"/>
          <w:szCs w:val="18"/>
        </w:rPr>
        <w:t>Handbook of Research on Teacher Education</w:t>
      </w:r>
      <w:r w:rsidR="00C947CD" w:rsidRPr="004C4F16">
        <w:rPr>
          <w:rFonts w:asciiTheme="minorHAnsi" w:eastAsiaTheme="minorEastAsia" w:hAnsiTheme="minorHAnsi" w:cstheme="minorHAnsi"/>
          <w:color w:val="auto"/>
          <w:sz w:val="18"/>
          <w:szCs w:val="18"/>
        </w:rPr>
        <w:t>, London: Routledge (pp. 1050-1095).</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Coch</w:t>
      </w:r>
      <w:r w:rsidR="00F823B7">
        <w:rPr>
          <w:rFonts w:asciiTheme="minorHAnsi" w:eastAsiaTheme="minorEastAsia" w:hAnsiTheme="minorHAnsi" w:cstheme="minorHAnsi"/>
          <w:color w:val="auto"/>
          <w:sz w:val="18"/>
          <w:szCs w:val="18"/>
        </w:rPr>
        <w:t xml:space="preserve">ran-Smith, M. &amp; Villegas, A.M. </w:t>
      </w:r>
      <w:r w:rsidRPr="004C4F16">
        <w:rPr>
          <w:rFonts w:asciiTheme="minorHAnsi" w:eastAsiaTheme="minorEastAsia" w:hAnsiTheme="minorHAnsi" w:cstheme="minorHAnsi"/>
          <w:color w:val="auto"/>
          <w:sz w:val="18"/>
          <w:szCs w:val="18"/>
        </w:rPr>
        <w:t xml:space="preserve">(2015) Framing Teacher Preparation Research: An Overview of the Field, Part 1. </w:t>
      </w:r>
      <w:r w:rsidRPr="004C4F16">
        <w:rPr>
          <w:rFonts w:asciiTheme="minorHAnsi" w:eastAsiaTheme="minorEastAsia" w:hAnsiTheme="minorHAnsi" w:cstheme="minorHAnsi"/>
          <w:i/>
          <w:color w:val="auto"/>
          <w:sz w:val="18"/>
          <w:szCs w:val="18"/>
        </w:rPr>
        <w:t>Journal of Teacher Education</w:t>
      </w:r>
      <w:r w:rsidRPr="004C4F16">
        <w:rPr>
          <w:rFonts w:asciiTheme="minorHAnsi" w:eastAsiaTheme="minorEastAsia" w:hAnsiTheme="minorHAnsi" w:cstheme="minorHAnsi"/>
          <w:color w:val="auto"/>
          <w:sz w:val="18"/>
          <w:szCs w:val="18"/>
        </w:rPr>
        <w:t xml:space="preserve">, 66(1), 7-20. </w:t>
      </w:r>
      <w:hyperlink r:id="rId19" w:history="1">
        <w:r w:rsidR="009254B7" w:rsidRPr="004C4F16">
          <w:rPr>
            <w:rStyle w:val="Hyperlink"/>
            <w:rFonts w:asciiTheme="minorHAnsi" w:eastAsiaTheme="minorEastAsia" w:hAnsiTheme="minorHAnsi" w:cstheme="minorHAnsi"/>
            <w:sz w:val="18"/>
            <w:szCs w:val="18"/>
          </w:rPr>
          <w:t>http://www.mofet.macam.ac.il/amitim/hashiva/Documents/Framing%20Teacher%20Preparation%20Research.pdf</w:t>
        </w:r>
      </w:hyperlink>
      <w:r w:rsidR="009254B7" w:rsidRPr="004C4F16">
        <w:rPr>
          <w:rFonts w:asciiTheme="minorHAnsi" w:eastAsiaTheme="minorEastAsia" w:hAnsiTheme="minorHAnsi" w:cstheme="minorHAnsi"/>
          <w:color w:val="auto"/>
          <w:sz w:val="18"/>
          <w:szCs w:val="18"/>
        </w:rPr>
        <w:t xml:space="preserve"> </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Cochran-Smith, M. &amp; Villegas, A.M.  (2015) Framing Teacher Preparation Research: An Overview of the Field, Part II, Journal of Teacher Education, 66(2), 109-121. </w:t>
      </w:r>
      <w:hyperlink r:id="rId20" w:history="1">
        <w:r w:rsidR="009254B7" w:rsidRPr="004C4F16">
          <w:rPr>
            <w:rStyle w:val="Hyperlink"/>
            <w:rFonts w:asciiTheme="minorHAnsi" w:eastAsiaTheme="minorEastAsia" w:hAnsiTheme="minorHAnsi" w:cstheme="minorHAnsi"/>
            <w:sz w:val="18"/>
            <w:szCs w:val="18"/>
          </w:rPr>
          <w:t>http://www.mofet.macam.ac.il/amitim/hashiva/Documents/Critiquing%20Teacher%20Preparation.pdf</w:t>
        </w:r>
      </w:hyperlink>
      <w:r w:rsidR="009254B7"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color w:val="auto"/>
          <w:sz w:val="18"/>
          <w:szCs w:val="18"/>
        </w:rPr>
        <w:t xml:space="preserve"> </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Cochran-Smith, M., Stern, R., Sánchez, J.G., Miller, A., Keefe, E.S., Fernández, M.B., Chang, W., Carney, M.C., Burton, S. &amp; Baker, M. </w:t>
      </w:r>
      <w:r w:rsidR="00807BF9" w:rsidRPr="004C4F16">
        <w:rPr>
          <w:rFonts w:asciiTheme="minorHAnsi" w:eastAsiaTheme="minorEastAsia" w:hAnsiTheme="minorHAnsi" w:cstheme="minorHAnsi"/>
          <w:color w:val="auto"/>
          <w:sz w:val="18"/>
          <w:szCs w:val="18"/>
        </w:rPr>
        <w:t>(</w:t>
      </w:r>
      <w:r w:rsidRPr="004C4F16">
        <w:rPr>
          <w:rFonts w:asciiTheme="minorHAnsi" w:eastAsiaTheme="minorEastAsia" w:hAnsiTheme="minorHAnsi" w:cstheme="minorHAnsi"/>
          <w:color w:val="auto"/>
          <w:sz w:val="18"/>
          <w:szCs w:val="18"/>
        </w:rPr>
        <w:t>2016</w:t>
      </w:r>
      <w:r w:rsidR="00807BF9" w:rsidRPr="004C4F16">
        <w:rPr>
          <w:rFonts w:asciiTheme="minorHAnsi" w:eastAsiaTheme="minorEastAsia" w:hAnsiTheme="minorHAnsi" w:cstheme="minorHAnsi"/>
          <w:color w:val="auto"/>
          <w:sz w:val="18"/>
          <w:szCs w:val="18"/>
        </w:rPr>
        <w:t>)</w:t>
      </w:r>
      <w:r w:rsidRPr="004C4F16">
        <w:rPr>
          <w:rFonts w:asciiTheme="minorHAnsi" w:eastAsiaTheme="minorEastAsia" w:hAnsiTheme="minorHAnsi" w:cstheme="minorHAnsi"/>
          <w:color w:val="auto"/>
          <w:sz w:val="18"/>
          <w:szCs w:val="18"/>
        </w:rPr>
        <w:t xml:space="preserve"> Holding Teacher Preparation Accountable: A Review of Claims and Evidence. Boulder, CO: National Education Policy Center. </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Craven, G., K. Beswick, J. Fleming, T. Fletcher, M. Green, B. Jensen, E. Leinonen &amp; F. Rickards (2015) Action Now: Classroom Ready Teachers. Canberra: Commonwealth Department of Education. </w:t>
      </w:r>
    </w:p>
    <w:p w:rsidR="00423E20" w:rsidRPr="004C4F16" w:rsidRDefault="00423E20" w:rsidP="00423E20">
      <w:pPr>
        <w:ind w:left="720" w:hanging="720"/>
        <w:contextualSpacing/>
        <w:rPr>
          <w:rFonts w:asciiTheme="minorHAnsi" w:hAnsiTheme="minorHAnsi" w:cstheme="minorHAnsi"/>
          <w:sz w:val="18"/>
          <w:szCs w:val="18"/>
        </w:rPr>
      </w:pPr>
      <w:r w:rsidRPr="004C4F16">
        <w:rPr>
          <w:rFonts w:asciiTheme="minorHAnsi" w:hAnsiTheme="minorHAnsi" w:cstheme="minorHAnsi"/>
          <w:sz w:val="18"/>
          <w:szCs w:val="18"/>
        </w:rPr>
        <w:t xml:space="preserve">Darling-Hammond, L. (2006) </w:t>
      </w:r>
      <w:r w:rsidRPr="004C4F16">
        <w:rPr>
          <w:rFonts w:asciiTheme="minorHAnsi" w:hAnsiTheme="minorHAnsi" w:cstheme="minorHAnsi"/>
          <w:i/>
          <w:sz w:val="18"/>
          <w:szCs w:val="18"/>
        </w:rPr>
        <w:t>Powerful Teacher Education: Lessons from exemplary programs</w:t>
      </w:r>
      <w:r w:rsidRPr="004C4F16">
        <w:rPr>
          <w:rFonts w:asciiTheme="minorHAnsi" w:hAnsiTheme="minorHAnsi" w:cstheme="minorHAnsi"/>
          <w:sz w:val="18"/>
          <w:szCs w:val="18"/>
        </w:rPr>
        <w:t>. San Francisco: Jossey-Bass</w:t>
      </w:r>
    </w:p>
    <w:p w:rsidR="00F85279" w:rsidRPr="004C4F16" w:rsidRDefault="00F85279" w:rsidP="000D4C7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Darling Hammond, L. (2012) Constructing 21st Century Teacher Education. In Hill-Jackson, V. &amp; W. Lewis, C.W. (eds) </w:t>
      </w:r>
      <w:r w:rsidRPr="004C4F16">
        <w:rPr>
          <w:rFonts w:asciiTheme="minorHAnsi" w:eastAsiaTheme="minorEastAsia" w:hAnsiTheme="minorHAnsi" w:cstheme="minorHAnsi"/>
          <w:i/>
          <w:color w:val="auto"/>
          <w:sz w:val="18"/>
          <w:szCs w:val="18"/>
        </w:rPr>
        <w:t>Transforming Teacher Education: What Went Wrong with Teacher Training, and How We Can Fix It</w:t>
      </w:r>
      <w:r w:rsidRPr="004C4F16">
        <w:rPr>
          <w:rFonts w:asciiTheme="minorHAnsi" w:eastAsiaTheme="minorEastAsia" w:hAnsiTheme="minorHAnsi" w:cstheme="minorHAnsi"/>
          <w:color w:val="auto"/>
          <w:sz w:val="18"/>
          <w:szCs w:val="18"/>
        </w:rPr>
        <w:t>. Sterling, VA: Stylus.</w:t>
      </w:r>
    </w:p>
    <w:p w:rsidR="000D4C70" w:rsidRPr="004C4F16" w:rsidRDefault="00F85279" w:rsidP="000D4C7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Darling-Hammond, L.</w:t>
      </w:r>
      <w:r w:rsidR="00F823B7">
        <w:rPr>
          <w:rFonts w:asciiTheme="minorHAnsi" w:eastAsiaTheme="minorEastAsia" w:hAnsiTheme="minorHAnsi" w:cstheme="minorHAnsi"/>
          <w:color w:val="auto"/>
          <w:sz w:val="18"/>
          <w:szCs w:val="18"/>
        </w:rPr>
        <w:t xml:space="preserve"> &amp; Rothman, R. (2015)</w:t>
      </w:r>
      <w:r w:rsidR="000D4C70" w:rsidRPr="004C4F16">
        <w:rPr>
          <w:rFonts w:asciiTheme="minorHAnsi" w:eastAsiaTheme="minorEastAsia" w:hAnsiTheme="minorHAnsi" w:cstheme="minorHAnsi"/>
          <w:i/>
          <w:color w:val="auto"/>
          <w:sz w:val="18"/>
          <w:szCs w:val="18"/>
        </w:rPr>
        <w:t xml:space="preserve"> Teaching in the Flat World: Learning from High Performing Systems</w:t>
      </w:r>
      <w:r w:rsidR="000D4C70" w:rsidRPr="004C4F16">
        <w:rPr>
          <w:rFonts w:asciiTheme="minorHAnsi" w:eastAsiaTheme="minorEastAsia" w:hAnsiTheme="minorHAnsi" w:cstheme="minorHAnsi"/>
          <w:color w:val="auto"/>
          <w:sz w:val="18"/>
          <w:szCs w:val="18"/>
        </w:rPr>
        <w:t>. New York, NY: Teachers College Press.</w:t>
      </w:r>
    </w:p>
    <w:p w:rsidR="0021706F" w:rsidRPr="004C4F16" w:rsidRDefault="000D4C70" w:rsidP="000D4C7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Darling-Hammond, L.</w:t>
      </w:r>
      <w:r w:rsidR="0021706F" w:rsidRPr="004C4F16">
        <w:rPr>
          <w:rFonts w:asciiTheme="minorHAnsi" w:eastAsiaTheme="minorEastAsia" w:hAnsiTheme="minorHAnsi" w:cstheme="minorHAnsi"/>
          <w:color w:val="auto"/>
          <w:sz w:val="18"/>
          <w:szCs w:val="18"/>
        </w:rPr>
        <w:t xml:space="preserve"> (2017) Teacher education around the world: What can we lear</w:t>
      </w:r>
      <w:r w:rsidR="00F85279" w:rsidRPr="004C4F16">
        <w:rPr>
          <w:rFonts w:asciiTheme="minorHAnsi" w:eastAsiaTheme="minorEastAsia" w:hAnsiTheme="minorHAnsi" w:cstheme="minorHAnsi"/>
          <w:color w:val="auto"/>
          <w:sz w:val="18"/>
          <w:szCs w:val="18"/>
        </w:rPr>
        <w:t xml:space="preserve">n from international practice? </w:t>
      </w:r>
      <w:r w:rsidR="0021706F" w:rsidRPr="004C4F16">
        <w:rPr>
          <w:rFonts w:asciiTheme="minorHAnsi" w:eastAsiaTheme="minorEastAsia" w:hAnsiTheme="minorHAnsi" w:cstheme="minorHAnsi"/>
          <w:i/>
          <w:color w:val="auto"/>
          <w:sz w:val="18"/>
          <w:szCs w:val="18"/>
        </w:rPr>
        <w:t>European Journal of Teacher Education,</w:t>
      </w:r>
      <w:r w:rsidR="0021706F" w:rsidRPr="004C4F16">
        <w:rPr>
          <w:rFonts w:asciiTheme="minorHAnsi" w:eastAsiaTheme="minorEastAsia" w:hAnsiTheme="minorHAnsi" w:cstheme="minorHAnsi"/>
          <w:color w:val="auto"/>
          <w:sz w:val="18"/>
          <w:szCs w:val="18"/>
        </w:rPr>
        <w:t xml:space="preserve"> 40(3), 291-309.</w:t>
      </w:r>
    </w:p>
    <w:p w:rsidR="00C947CD" w:rsidRPr="004C4F16" w:rsidRDefault="00F85279" w:rsidP="0021706F">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Darling-</w:t>
      </w:r>
      <w:r w:rsidR="00C947CD" w:rsidRPr="004C4F16">
        <w:rPr>
          <w:rFonts w:asciiTheme="minorHAnsi" w:eastAsiaTheme="minorEastAsia" w:hAnsiTheme="minorHAnsi" w:cstheme="minorHAnsi"/>
          <w:color w:val="auto"/>
          <w:sz w:val="18"/>
          <w:szCs w:val="18"/>
        </w:rPr>
        <w:t xml:space="preserve">Hammond, L., Chung Wei, R. &amp; Alethea, A. (2010) How high achieving countries develop great teachers. </w:t>
      </w:r>
      <w:hyperlink r:id="rId21" w:history="1">
        <w:r w:rsidR="00807BF9" w:rsidRPr="004C4F16">
          <w:rPr>
            <w:rStyle w:val="Hyperlink"/>
            <w:rFonts w:asciiTheme="minorHAnsi" w:eastAsiaTheme="minorEastAsia" w:hAnsiTheme="minorHAnsi" w:cstheme="minorHAnsi"/>
            <w:sz w:val="18"/>
            <w:szCs w:val="18"/>
          </w:rPr>
          <w:t>https://edpolicy.stanford.edu/sites/sefault/files/publications/how-high-achieving-countries-develop-great-teachers.pdf</w:t>
        </w:r>
      </w:hyperlink>
      <w:r w:rsidR="009254B7" w:rsidRPr="004C4F16">
        <w:rPr>
          <w:rFonts w:asciiTheme="minorHAnsi" w:eastAsiaTheme="minorEastAsia" w:hAnsiTheme="minorHAnsi" w:cstheme="minorHAnsi"/>
          <w:color w:val="auto"/>
          <w:sz w:val="18"/>
          <w:szCs w:val="18"/>
        </w:rPr>
        <w:t xml:space="preserve"> </w:t>
      </w:r>
      <w:r w:rsidR="00C947CD" w:rsidRPr="004C4F16">
        <w:rPr>
          <w:rFonts w:asciiTheme="minorHAnsi" w:eastAsiaTheme="minorEastAsia" w:hAnsiTheme="minorHAnsi" w:cstheme="minorHAnsi"/>
          <w:color w:val="auto"/>
          <w:sz w:val="18"/>
          <w:szCs w:val="18"/>
        </w:rPr>
        <w:t xml:space="preserve"> </w:t>
      </w:r>
    </w:p>
    <w:p w:rsidR="00C947CD" w:rsidRPr="004C4F16" w:rsidRDefault="00C947CD" w:rsidP="00423E20">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Darling-Ha</w:t>
      </w:r>
      <w:r w:rsidR="00807BF9" w:rsidRPr="004C4F16">
        <w:rPr>
          <w:rFonts w:asciiTheme="minorHAnsi" w:eastAsiaTheme="minorEastAsia" w:hAnsiTheme="minorHAnsi" w:cstheme="minorHAnsi"/>
          <w:color w:val="auto"/>
          <w:sz w:val="18"/>
          <w:szCs w:val="18"/>
        </w:rPr>
        <w:t>mmond, L. &amp; Leiberman, A. (eds</w:t>
      </w:r>
      <w:r w:rsidRPr="004C4F16">
        <w:rPr>
          <w:rFonts w:asciiTheme="minorHAnsi" w:eastAsiaTheme="minorEastAsia" w:hAnsiTheme="minorHAnsi" w:cstheme="minorHAnsi"/>
          <w:color w:val="auto"/>
          <w:sz w:val="18"/>
          <w:szCs w:val="18"/>
        </w:rPr>
        <w:t xml:space="preserve">) (2012) </w:t>
      </w:r>
      <w:r w:rsidRPr="004C4F16">
        <w:rPr>
          <w:rFonts w:asciiTheme="minorHAnsi" w:eastAsiaTheme="minorEastAsia" w:hAnsiTheme="minorHAnsi" w:cstheme="minorHAnsi"/>
          <w:i/>
          <w:color w:val="auto"/>
          <w:sz w:val="18"/>
          <w:szCs w:val="18"/>
        </w:rPr>
        <w:t>Teacher Education Around The World</w:t>
      </w:r>
      <w:r w:rsidRPr="004C4F16">
        <w:rPr>
          <w:rFonts w:asciiTheme="minorHAnsi" w:eastAsiaTheme="minorEastAsia" w:hAnsiTheme="minorHAnsi" w:cstheme="minorHAnsi"/>
          <w:color w:val="auto"/>
          <w:sz w:val="18"/>
          <w:szCs w:val="18"/>
        </w:rPr>
        <w:t>. London: Routledge.</w:t>
      </w:r>
    </w:p>
    <w:p w:rsidR="005343A4" w:rsidRPr="004C4F16" w:rsidRDefault="005343A4" w:rsidP="005343A4">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Davies, P., Connolly, M., Nels</w:t>
      </w:r>
      <w:r w:rsidR="00807BF9" w:rsidRPr="004C4F16">
        <w:rPr>
          <w:rFonts w:asciiTheme="minorHAnsi" w:eastAsiaTheme="minorEastAsia" w:hAnsiTheme="minorHAnsi" w:cstheme="minorHAnsi"/>
          <w:color w:val="auto"/>
          <w:sz w:val="18"/>
          <w:szCs w:val="18"/>
        </w:rPr>
        <w:t xml:space="preserve">on, J., Hulme, M., Kirkman, J. &amp; </w:t>
      </w:r>
      <w:r w:rsidRPr="004C4F16">
        <w:rPr>
          <w:rFonts w:asciiTheme="minorHAnsi" w:eastAsiaTheme="minorEastAsia" w:hAnsiTheme="minorHAnsi" w:cstheme="minorHAnsi"/>
          <w:color w:val="auto"/>
          <w:sz w:val="18"/>
          <w:szCs w:val="18"/>
        </w:rPr>
        <w:t xml:space="preserve">Greenway, C. (2016) ‘Letting the right one in’: Provider contexts for recruitment to initial teacher education in the United Kingdom, </w:t>
      </w:r>
      <w:r w:rsidRPr="004C4F16">
        <w:rPr>
          <w:rFonts w:asciiTheme="minorHAnsi" w:eastAsiaTheme="minorEastAsia" w:hAnsiTheme="minorHAnsi" w:cstheme="minorHAnsi"/>
          <w:i/>
          <w:color w:val="auto"/>
          <w:sz w:val="18"/>
          <w:szCs w:val="18"/>
        </w:rPr>
        <w:t>Teaching and Teacher Education</w:t>
      </w:r>
      <w:r w:rsidRPr="004C4F16">
        <w:rPr>
          <w:rFonts w:asciiTheme="minorHAnsi" w:eastAsiaTheme="minorEastAsia" w:hAnsiTheme="minorHAnsi" w:cstheme="minorHAnsi"/>
          <w:color w:val="auto"/>
          <w:sz w:val="18"/>
          <w:szCs w:val="18"/>
        </w:rPr>
        <w:t>,60, 291-302.</w:t>
      </w:r>
    </w:p>
    <w:p w:rsidR="00DE7648" w:rsidRPr="004C4F16" w:rsidRDefault="00DE7648" w:rsidP="005343A4">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lastRenderedPageBreak/>
        <w:t>Donaldson, G. (2011)</w:t>
      </w:r>
      <w:r w:rsidR="00C947CD" w:rsidRPr="004C4F16">
        <w:rPr>
          <w:rFonts w:asciiTheme="minorHAnsi" w:eastAsiaTheme="minorEastAsia" w:hAnsiTheme="minorHAnsi" w:cstheme="minorHAnsi"/>
          <w:color w:val="auto"/>
          <w:sz w:val="18"/>
          <w:szCs w:val="18"/>
        </w:rPr>
        <w:t xml:space="preserve"> Teaching Scotland’s future: A report of the review of teacher education in Scotland. Edinburgh: Scottish Government.</w:t>
      </w:r>
    </w:p>
    <w:p w:rsidR="00AE7688" w:rsidRDefault="00AE7688" w:rsidP="00667ED1">
      <w:pPr>
        <w:ind w:left="720" w:hanging="720"/>
        <w:rPr>
          <w:rFonts w:asciiTheme="minorHAnsi" w:eastAsiaTheme="minorEastAsia" w:hAnsiTheme="minorHAnsi" w:cstheme="minorHAnsi"/>
          <w:color w:val="auto"/>
          <w:sz w:val="18"/>
          <w:szCs w:val="18"/>
        </w:rPr>
      </w:pPr>
      <w:r w:rsidRPr="00AE7688">
        <w:rPr>
          <w:rFonts w:asciiTheme="minorHAnsi" w:eastAsiaTheme="minorEastAsia" w:hAnsiTheme="minorHAnsi" w:cstheme="minorHAnsi"/>
          <w:color w:val="auto"/>
          <w:sz w:val="18"/>
          <w:szCs w:val="18"/>
        </w:rPr>
        <w:t xml:space="preserve">European Commission (2013) </w:t>
      </w:r>
      <w:r w:rsidRPr="00AE7688">
        <w:rPr>
          <w:rFonts w:asciiTheme="minorHAnsi" w:eastAsiaTheme="minorEastAsia" w:hAnsiTheme="minorHAnsi" w:cstheme="minorHAnsi"/>
          <w:i/>
          <w:color w:val="auto"/>
          <w:sz w:val="18"/>
          <w:szCs w:val="18"/>
        </w:rPr>
        <w:t>Supporting Teacher Educators for Better Learning Outcomes</w:t>
      </w:r>
      <w:r w:rsidRPr="00AE7688">
        <w:rPr>
          <w:rFonts w:asciiTheme="minorHAnsi" w:eastAsiaTheme="minorEastAsia" w:hAnsiTheme="minorHAnsi" w:cstheme="minorHAnsi"/>
          <w:color w:val="auto"/>
          <w:sz w:val="18"/>
          <w:szCs w:val="18"/>
        </w:rPr>
        <w:t>.</w:t>
      </w:r>
      <w:r>
        <w:rPr>
          <w:rFonts w:asciiTheme="minorHAnsi" w:eastAsiaTheme="minorEastAsia" w:hAnsiTheme="minorHAnsi" w:cstheme="minorHAnsi"/>
          <w:color w:val="auto"/>
          <w:sz w:val="18"/>
          <w:szCs w:val="18"/>
        </w:rPr>
        <w:t xml:space="preserve"> </w:t>
      </w:r>
      <w:r w:rsidRPr="00AE7688">
        <w:rPr>
          <w:rFonts w:asciiTheme="minorHAnsi" w:eastAsiaTheme="minorEastAsia" w:hAnsiTheme="minorHAnsi" w:cstheme="minorHAnsi"/>
          <w:color w:val="auto"/>
          <w:sz w:val="18"/>
          <w:szCs w:val="18"/>
        </w:rPr>
        <w:t>European Commission: Brussels.</w:t>
      </w:r>
    </w:p>
    <w:p w:rsidR="00667ED1" w:rsidRPr="004C4F16" w:rsidRDefault="00667ED1" w:rsidP="00667ED1">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Fullan, M. &amp; Hargreaves, A. (2016) Bringing the profession back in: Call to action. Oxford, OH: Learning Forward.</w:t>
      </w:r>
    </w:p>
    <w:p w:rsidR="00C947CD" w:rsidRPr="004C4F16" w:rsidRDefault="00DE7648" w:rsidP="00667ED1">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Furlong, J. (2015)</w:t>
      </w:r>
      <w:r w:rsidR="00C947CD" w:rsidRPr="004C4F16">
        <w:rPr>
          <w:rFonts w:asciiTheme="minorHAnsi" w:eastAsiaTheme="minorEastAsia" w:hAnsiTheme="minorHAnsi" w:cstheme="minorHAnsi"/>
          <w:color w:val="auto"/>
          <w:sz w:val="18"/>
          <w:szCs w:val="18"/>
        </w:rPr>
        <w:t xml:space="preserve"> Teaching Tomorrow’s Teachers. Oxford: University of Oxford.</w:t>
      </w:r>
    </w:p>
    <w:p w:rsidR="000661AB" w:rsidRPr="004C4F16" w:rsidRDefault="000661AB" w:rsidP="000661AB">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Gansle, K. A., Noell, G. H. and Burns, J. M. (2012) Do Student Achievement Outcomes Differ Across Teacher Preparation Programs? An Analysis of Teacher Education in Louisiana, </w:t>
      </w:r>
      <w:r w:rsidRPr="004C4F16">
        <w:rPr>
          <w:rFonts w:asciiTheme="minorHAnsi" w:eastAsiaTheme="minorEastAsia" w:hAnsiTheme="minorHAnsi" w:cstheme="minorHAnsi"/>
          <w:i/>
          <w:color w:val="auto"/>
          <w:sz w:val="18"/>
          <w:szCs w:val="18"/>
        </w:rPr>
        <w:t>Journal of Teacher Education</w:t>
      </w:r>
      <w:r w:rsidRPr="004C4F16">
        <w:rPr>
          <w:rFonts w:asciiTheme="minorHAnsi" w:eastAsiaTheme="minorEastAsia" w:hAnsiTheme="minorHAnsi" w:cstheme="minorHAnsi"/>
          <w:color w:val="auto"/>
          <w:sz w:val="18"/>
          <w:szCs w:val="18"/>
        </w:rPr>
        <w:t xml:space="preserve">, 63(5), 304–317. </w:t>
      </w:r>
    </w:p>
    <w:p w:rsidR="00CB2B0E" w:rsidRPr="004C4F16" w:rsidRDefault="00CB2B0E" w:rsidP="00DE7648">
      <w:pPr>
        <w:ind w:left="720" w:hanging="720"/>
        <w:rPr>
          <w:rFonts w:asciiTheme="minorHAnsi" w:hAnsiTheme="minorHAnsi"/>
          <w:sz w:val="18"/>
          <w:szCs w:val="18"/>
        </w:rPr>
      </w:pPr>
      <w:r w:rsidRPr="004C4F16">
        <w:rPr>
          <w:rFonts w:asciiTheme="minorHAnsi" w:hAnsiTheme="minorHAnsi"/>
          <w:sz w:val="18"/>
          <w:szCs w:val="18"/>
        </w:rPr>
        <w:t>Goldhaber, D., Li</w:t>
      </w:r>
      <w:r w:rsidR="00807BF9" w:rsidRPr="004C4F16">
        <w:rPr>
          <w:rFonts w:asciiTheme="minorHAnsi" w:hAnsiTheme="minorHAnsi"/>
          <w:sz w:val="18"/>
          <w:szCs w:val="18"/>
        </w:rPr>
        <w:t>ddle, S., &amp; Theobald, R. (2013)</w:t>
      </w:r>
      <w:r w:rsidRPr="004C4F16">
        <w:rPr>
          <w:rFonts w:asciiTheme="minorHAnsi" w:hAnsiTheme="minorHAnsi"/>
          <w:sz w:val="18"/>
          <w:szCs w:val="18"/>
        </w:rPr>
        <w:t xml:space="preserve"> The gateway to the profession: assessing teacher preparation programs based on student achievement. </w:t>
      </w:r>
      <w:r w:rsidRPr="004C4F16">
        <w:rPr>
          <w:rFonts w:asciiTheme="minorHAnsi" w:hAnsiTheme="minorHAnsi" w:cs="EKJLE L+ Gulliver"/>
          <w:i/>
          <w:iCs/>
          <w:sz w:val="18"/>
          <w:szCs w:val="18"/>
        </w:rPr>
        <w:t>Economics of Education Review, 34</w:t>
      </w:r>
      <w:r w:rsidRPr="004C4F16">
        <w:rPr>
          <w:rFonts w:asciiTheme="minorHAnsi" w:hAnsiTheme="minorHAnsi"/>
          <w:sz w:val="18"/>
          <w:szCs w:val="18"/>
        </w:rPr>
        <w:t xml:space="preserve">, 29–44 </w:t>
      </w:r>
    </w:p>
    <w:p w:rsidR="000661AB" w:rsidRDefault="000661AB" w:rsidP="000661AB">
      <w:pPr>
        <w:ind w:left="720" w:hanging="720"/>
        <w:rPr>
          <w:rFonts w:asciiTheme="minorHAnsi" w:hAnsiTheme="minorHAnsi"/>
          <w:color w:val="auto"/>
          <w:sz w:val="18"/>
          <w:szCs w:val="18"/>
        </w:rPr>
      </w:pPr>
      <w:r w:rsidRPr="004C4F16">
        <w:rPr>
          <w:rFonts w:asciiTheme="minorHAnsi" w:hAnsiTheme="minorHAnsi"/>
          <w:color w:val="auto"/>
          <w:sz w:val="18"/>
          <w:szCs w:val="18"/>
        </w:rPr>
        <w:t>Guarino, C.</w:t>
      </w:r>
      <w:r w:rsidR="00F823B7">
        <w:rPr>
          <w:rFonts w:asciiTheme="minorHAnsi" w:hAnsiTheme="minorHAnsi"/>
          <w:color w:val="auto"/>
          <w:sz w:val="18"/>
          <w:szCs w:val="18"/>
        </w:rPr>
        <w:t xml:space="preserve">, </w:t>
      </w:r>
      <w:r w:rsidR="00F823B7" w:rsidRPr="00F823B7">
        <w:rPr>
          <w:rFonts w:asciiTheme="minorHAnsi" w:hAnsiTheme="minorHAnsi"/>
          <w:color w:val="auto"/>
          <w:sz w:val="18"/>
          <w:szCs w:val="18"/>
        </w:rPr>
        <w:t xml:space="preserve">Reckase, M., Stacy, B. &amp; Woolridge, J. </w:t>
      </w:r>
      <w:r w:rsidRPr="004C4F16">
        <w:rPr>
          <w:rFonts w:asciiTheme="minorHAnsi" w:hAnsiTheme="minorHAnsi"/>
          <w:color w:val="auto"/>
          <w:sz w:val="18"/>
          <w:szCs w:val="18"/>
        </w:rPr>
        <w:t xml:space="preserve">(2015) A Comparison of Student Growth Percentile and Value-Added Models of Teacher Performance, </w:t>
      </w:r>
      <w:r w:rsidRPr="004C4F16">
        <w:rPr>
          <w:rFonts w:asciiTheme="minorHAnsi" w:hAnsiTheme="minorHAnsi"/>
          <w:i/>
          <w:color w:val="auto"/>
          <w:sz w:val="18"/>
          <w:szCs w:val="18"/>
        </w:rPr>
        <w:t>Statistics and Public Policy</w:t>
      </w:r>
      <w:r w:rsidRPr="004C4F16">
        <w:rPr>
          <w:rFonts w:asciiTheme="minorHAnsi" w:hAnsiTheme="minorHAnsi"/>
          <w:color w:val="auto"/>
          <w:sz w:val="18"/>
          <w:szCs w:val="18"/>
        </w:rPr>
        <w:t xml:space="preserve">, 2(1), 1–11. </w:t>
      </w:r>
    </w:p>
    <w:p w:rsidR="000F1419" w:rsidRPr="004C4F16" w:rsidRDefault="000F1419" w:rsidP="000661AB">
      <w:pPr>
        <w:ind w:left="720" w:hanging="720"/>
        <w:rPr>
          <w:rFonts w:asciiTheme="minorHAnsi" w:hAnsiTheme="minorHAnsi"/>
          <w:color w:val="FF0000"/>
          <w:sz w:val="18"/>
          <w:szCs w:val="18"/>
        </w:rPr>
      </w:pPr>
      <w:r>
        <w:rPr>
          <w:rFonts w:asciiTheme="minorHAnsi" w:hAnsiTheme="minorHAnsi"/>
          <w:color w:val="auto"/>
          <w:sz w:val="18"/>
          <w:szCs w:val="18"/>
        </w:rPr>
        <w:t>Guerriero, S. (eds) (2017)</w:t>
      </w:r>
      <w:r w:rsidRPr="000F1419">
        <w:rPr>
          <w:rFonts w:asciiTheme="minorHAnsi" w:hAnsiTheme="minorHAnsi"/>
          <w:i/>
          <w:color w:val="auto"/>
          <w:sz w:val="18"/>
          <w:szCs w:val="18"/>
        </w:rPr>
        <w:t xml:space="preserve"> Pedagogical Knowledge and the Changing Nature of the Teaching Profession</w:t>
      </w:r>
      <w:r>
        <w:rPr>
          <w:rFonts w:asciiTheme="minorHAnsi" w:hAnsiTheme="minorHAnsi"/>
          <w:color w:val="auto"/>
          <w:sz w:val="18"/>
          <w:szCs w:val="18"/>
        </w:rPr>
        <w:t xml:space="preserve">. OECD Publishing: Paris. </w:t>
      </w:r>
      <w:hyperlink r:id="rId22" w:tgtFrame="_blank" w:tooltip="Pedagogical Knowledge and the Changing Nature of the Teaching Profession" w:history="1">
        <w:r w:rsidRPr="000F1419">
          <w:rPr>
            <w:rStyle w:val="Hyperlink"/>
            <w:rFonts w:asciiTheme="minorHAnsi" w:eastAsiaTheme="majorEastAsia" w:hAnsiTheme="minorHAnsi"/>
            <w:sz w:val="18"/>
            <w:szCs w:val="18"/>
            <w:lang w:val="en"/>
          </w:rPr>
          <w:t>http://dx.doi.org/10.1787/9789264270695-en</w:t>
        </w:r>
      </w:hyperlink>
      <w:r>
        <w:rPr>
          <w:rFonts w:asciiTheme="minorHAnsi" w:hAnsiTheme="minorHAnsi"/>
          <w:sz w:val="18"/>
          <w:szCs w:val="18"/>
          <w:lang w:val="en"/>
        </w:rPr>
        <w:t xml:space="preserve"> </w:t>
      </w:r>
    </w:p>
    <w:p w:rsidR="0072770F" w:rsidRPr="004C4F16" w:rsidRDefault="00807BF9"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Halbert, J. &amp; Kaser, L. (2013)</w:t>
      </w:r>
      <w:r w:rsidR="0072770F" w:rsidRPr="004C4F16">
        <w:rPr>
          <w:rFonts w:asciiTheme="minorHAnsi" w:eastAsiaTheme="minorEastAsia" w:hAnsiTheme="minorHAnsi" w:cstheme="minorHAnsi"/>
          <w:color w:val="auto"/>
          <w:sz w:val="18"/>
          <w:szCs w:val="18"/>
        </w:rPr>
        <w:t xml:space="preserve"> </w:t>
      </w:r>
      <w:r w:rsidR="0072770F" w:rsidRPr="004C4F16">
        <w:rPr>
          <w:rFonts w:asciiTheme="minorHAnsi" w:eastAsiaTheme="minorEastAsia" w:hAnsiTheme="minorHAnsi" w:cstheme="minorHAnsi"/>
          <w:i/>
          <w:color w:val="auto"/>
          <w:sz w:val="18"/>
          <w:szCs w:val="18"/>
        </w:rPr>
        <w:t>Spirals of Inquiry: For Equity and Quality</w:t>
      </w:r>
      <w:r w:rsidR="0072770F" w:rsidRPr="004C4F16">
        <w:rPr>
          <w:rFonts w:asciiTheme="minorHAnsi" w:eastAsiaTheme="minorEastAsia" w:hAnsiTheme="minorHAnsi" w:cstheme="minorHAnsi"/>
          <w:color w:val="auto"/>
          <w:sz w:val="18"/>
          <w:szCs w:val="18"/>
        </w:rPr>
        <w:t>. Vancouver, BC: BCPVPA.</w:t>
      </w:r>
    </w:p>
    <w:p w:rsidR="00843719" w:rsidRPr="004C4F16" w:rsidRDefault="00843719"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Hargreaves, A. (2013) ‘Professional capital and the future of teaching’, in T. Seddon and J.S. Levin (eds)</w:t>
      </w:r>
      <w:r w:rsidRPr="004C4F16">
        <w:rPr>
          <w:rFonts w:asciiTheme="minorHAnsi" w:eastAsiaTheme="minorEastAsia" w:hAnsiTheme="minorHAnsi" w:cstheme="minorHAnsi"/>
          <w:i/>
          <w:color w:val="auto"/>
          <w:sz w:val="18"/>
          <w:szCs w:val="18"/>
        </w:rPr>
        <w:t xml:space="preserve"> Educators, professionalism and politics. Global transitions, national spaces and professional projects</w:t>
      </w:r>
      <w:r w:rsidRPr="004C4F16">
        <w:rPr>
          <w:rFonts w:asciiTheme="minorHAnsi" w:eastAsiaTheme="minorEastAsia" w:hAnsiTheme="minorHAnsi" w:cstheme="minorHAnsi"/>
          <w:color w:val="auto"/>
          <w:sz w:val="18"/>
          <w:szCs w:val="18"/>
        </w:rPr>
        <w:t>, London: Routledge, pp 290-310.</w:t>
      </w:r>
    </w:p>
    <w:p w:rsidR="0072770F" w:rsidRPr="004C4F16" w:rsidRDefault="0072770F" w:rsidP="0072770F">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Har</w:t>
      </w:r>
      <w:r w:rsidR="00807BF9" w:rsidRPr="004C4F16">
        <w:rPr>
          <w:rFonts w:asciiTheme="minorHAnsi" w:eastAsiaTheme="minorEastAsia" w:hAnsiTheme="minorHAnsi" w:cstheme="minorHAnsi"/>
          <w:color w:val="auto"/>
          <w:sz w:val="18"/>
          <w:szCs w:val="18"/>
        </w:rPr>
        <w:t>greaves, A. &amp; Fullan, M. (2012)</w:t>
      </w:r>
      <w:r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i/>
          <w:color w:val="auto"/>
          <w:sz w:val="18"/>
          <w:szCs w:val="18"/>
        </w:rPr>
        <w:t>Professional Capital: Transforming Teaching in Every School.</w:t>
      </w:r>
      <w:r w:rsidRPr="004C4F16">
        <w:rPr>
          <w:rFonts w:asciiTheme="minorHAnsi" w:eastAsiaTheme="minorEastAsia" w:hAnsiTheme="minorHAnsi" w:cstheme="minorHAnsi"/>
          <w:color w:val="auto"/>
          <w:sz w:val="18"/>
          <w:szCs w:val="18"/>
        </w:rPr>
        <w:t xml:space="preserve"> New York, NY: Teachers College Press and Toronto, ON: Ontario Principals’ Council.</w:t>
      </w:r>
    </w:p>
    <w:p w:rsidR="00000C89" w:rsidRPr="004C4F16" w:rsidRDefault="00000C89" w:rsidP="0072770F">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Hulme</w:t>
      </w:r>
      <w:r w:rsidR="00F823B7">
        <w:rPr>
          <w:rFonts w:asciiTheme="minorHAnsi" w:eastAsiaTheme="minorEastAsia" w:hAnsiTheme="minorHAnsi" w:cstheme="minorHAnsi"/>
          <w:color w:val="auto"/>
          <w:sz w:val="18"/>
          <w:szCs w:val="18"/>
        </w:rPr>
        <w:t>, M., Elliot, D., McPhee, A. &amp;</w:t>
      </w:r>
      <w:r w:rsidRPr="004C4F16">
        <w:rPr>
          <w:rFonts w:asciiTheme="minorHAnsi" w:eastAsiaTheme="minorEastAsia" w:hAnsiTheme="minorHAnsi" w:cstheme="minorHAnsi"/>
          <w:color w:val="auto"/>
          <w:sz w:val="18"/>
          <w:szCs w:val="18"/>
        </w:rPr>
        <w:t xml:space="preserve"> Patrick, F. (2008) Professional Culture among New Entrants to the Teaching Profession. Project Report. GTCS/Scottish Government, Edinburgh, UK.</w:t>
      </w:r>
    </w:p>
    <w:p w:rsidR="00BB0921" w:rsidRPr="004C4F16" w:rsidRDefault="00BB0921"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Hulme, M. &amp; Menter, I. (2014) New professionalism in austere times: the employment experiences of early career teachers in Scotland. </w:t>
      </w:r>
      <w:r w:rsidRPr="004C4F16">
        <w:rPr>
          <w:rFonts w:asciiTheme="minorHAnsi" w:eastAsiaTheme="minorEastAsia" w:hAnsiTheme="minorHAnsi" w:cstheme="minorHAnsi"/>
          <w:i/>
          <w:color w:val="auto"/>
          <w:sz w:val="18"/>
          <w:szCs w:val="18"/>
        </w:rPr>
        <w:t>Teachers and Teaching: Theory and Practice</w:t>
      </w:r>
      <w:r w:rsidRPr="004C4F16">
        <w:rPr>
          <w:rFonts w:asciiTheme="minorHAnsi" w:eastAsiaTheme="minorEastAsia" w:hAnsiTheme="minorHAnsi" w:cstheme="minorHAnsi"/>
          <w:color w:val="auto"/>
          <w:sz w:val="18"/>
          <w:szCs w:val="18"/>
        </w:rPr>
        <w:t>, 20(6), 672-687.</w:t>
      </w:r>
    </w:p>
    <w:p w:rsidR="00094796" w:rsidRPr="004C4F16" w:rsidRDefault="00094796"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Hobson, A. J., Malderez, A., Tracey, L., Homer, M. S., Ashby, </w:t>
      </w:r>
      <w:r w:rsidR="00807BF9" w:rsidRPr="004C4F16">
        <w:rPr>
          <w:rFonts w:asciiTheme="minorHAnsi" w:eastAsiaTheme="minorEastAsia" w:hAnsiTheme="minorHAnsi" w:cstheme="minorHAnsi"/>
          <w:color w:val="auto"/>
          <w:sz w:val="18"/>
          <w:szCs w:val="18"/>
        </w:rPr>
        <w:t>P., Mitchell, N., et al. (2009)</w:t>
      </w:r>
      <w:r w:rsidRPr="004C4F16">
        <w:rPr>
          <w:rFonts w:asciiTheme="minorHAnsi" w:eastAsiaTheme="minorEastAsia" w:hAnsiTheme="minorHAnsi" w:cstheme="minorHAnsi"/>
          <w:color w:val="auto"/>
          <w:sz w:val="18"/>
          <w:szCs w:val="18"/>
        </w:rPr>
        <w:t xml:space="preserve"> Becoming a Teacher: Teachers' experiences of initial teacher training, Induction and early professional development (Final report). Nottingham: DCSF &amp; Nottingham University.</w:t>
      </w:r>
    </w:p>
    <w:p w:rsidR="007C0605" w:rsidRPr="004C4F16" w:rsidRDefault="007C0605"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Hobson, A. &amp; Malderez, A. (2013) Judgementoring and other threats to realizing the potential of school‐based mentoring in teacher education, </w:t>
      </w:r>
      <w:r w:rsidRPr="004C4F16">
        <w:rPr>
          <w:rFonts w:asciiTheme="minorHAnsi" w:eastAsiaTheme="minorEastAsia" w:hAnsiTheme="minorHAnsi" w:cstheme="minorHAnsi"/>
          <w:i/>
          <w:color w:val="auto"/>
          <w:sz w:val="18"/>
          <w:szCs w:val="18"/>
        </w:rPr>
        <w:t>International Journal of Mentoring and Coaching in Education</w:t>
      </w:r>
      <w:r w:rsidRPr="004C4F16">
        <w:rPr>
          <w:rFonts w:asciiTheme="minorHAnsi" w:eastAsiaTheme="minorEastAsia" w:hAnsiTheme="minorHAnsi" w:cstheme="minorHAnsi"/>
          <w:color w:val="auto"/>
          <w:sz w:val="18"/>
          <w:szCs w:val="18"/>
        </w:rPr>
        <w:t xml:space="preserve">, 2(2) 89-108. </w:t>
      </w:r>
    </w:p>
    <w:p w:rsidR="00A11F62" w:rsidRPr="004C4F16" w:rsidRDefault="00A11F62"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Hobson, A.J. (2016) Judgementoring and how to avert it: introducing ONSIDE Mentoring for beginning teachers. </w:t>
      </w:r>
      <w:r w:rsidRPr="004C4F16">
        <w:rPr>
          <w:rFonts w:asciiTheme="minorHAnsi" w:eastAsiaTheme="minorEastAsia" w:hAnsiTheme="minorHAnsi" w:cstheme="minorHAnsi"/>
          <w:i/>
          <w:color w:val="auto"/>
          <w:sz w:val="18"/>
          <w:szCs w:val="18"/>
        </w:rPr>
        <w:t>International Journal of Mentoring and Coaching in Education</w:t>
      </w:r>
      <w:r w:rsidRPr="004C4F16">
        <w:rPr>
          <w:rFonts w:asciiTheme="minorHAnsi" w:eastAsiaTheme="minorEastAsia" w:hAnsiTheme="minorHAnsi" w:cstheme="minorHAnsi"/>
          <w:color w:val="auto"/>
          <w:sz w:val="18"/>
          <w:szCs w:val="18"/>
        </w:rPr>
        <w:t>, 5(2): 87-110.</w:t>
      </w:r>
    </w:p>
    <w:p w:rsidR="00C947CD" w:rsidRPr="004C4F16" w:rsidRDefault="00807BF9"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Ingersoll, R. (2007</w:t>
      </w:r>
      <w:r w:rsidR="00F823B7">
        <w:rPr>
          <w:rFonts w:asciiTheme="minorHAnsi" w:eastAsiaTheme="minorEastAsia" w:hAnsiTheme="minorHAnsi" w:cstheme="minorHAnsi"/>
          <w:color w:val="auto"/>
          <w:sz w:val="18"/>
          <w:szCs w:val="18"/>
        </w:rPr>
        <w:t>)</w:t>
      </w:r>
      <w:r w:rsidR="00C947CD" w:rsidRPr="004C4F16">
        <w:rPr>
          <w:rFonts w:asciiTheme="minorHAnsi" w:eastAsiaTheme="minorEastAsia" w:hAnsiTheme="minorHAnsi" w:cstheme="minorHAnsi"/>
          <w:color w:val="auto"/>
          <w:sz w:val="18"/>
          <w:szCs w:val="18"/>
        </w:rPr>
        <w:t xml:space="preserve"> A comparative study of teacher preparation and qualifications in 6 nations. Philadelph</w:t>
      </w:r>
      <w:r w:rsidR="00864FFE" w:rsidRPr="004C4F16">
        <w:rPr>
          <w:rFonts w:asciiTheme="minorHAnsi" w:eastAsiaTheme="minorEastAsia" w:hAnsiTheme="minorHAnsi" w:cstheme="minorHAnsi"/>
          <w:color w:val="auto"/>
          <w:sz w:val="18"/>
          <w:szCs w:val="18"/>
        </w:rPr>
        <w:t xml:space="preserve">ia: University of Pennsylvania, </w:t>
      </w:r>
      <w:r w:rsidR="00C947CD" w:rsidRPr="004C4F16">
        <w:rPr>
          <w:rFonts w:asciiTheme="minorHAnsi" w:eastAsiaTheme="minorEastAsia" w:hAnsiTheme="minorHAnsi" w:cstheme="minorHAnsi"/>
          <w:color w:val="auto"/>
          <w:sz w:val="18"/>
          <w:szCs w:val="18"/>
        </w:rPr>
        <w:t>Consortium for Policy Research in Education</w:t>
      </w:r>
    </w:p>
    <w:p w:rsidR="00C947CD" w:rsidRPr="004C4F16" w:rsidRDefault="00C947CD" w:rsidP="00DE7648">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Ingvarson, L., Reid, K., Buckley, S., Kleinhenz, E., </w:t>
      </w:r>
      <w:r w:rsidR="00F823B7">
        <w:rPr>
          <w:rFonts w:asciiTheme="minorHAnsi" w:eastAsiaTheme="minorEastAsia" w:hAnsiTheme="minorHAnsi" w:cstheme="minorHAnsi"/>
          <w:color w:val="auto"/>
          <w:sz w:val="18"/>
          <w:szCs w:val="18"/>
        </w:rPr>
        <w:t>Masters, G., Rowley</w:t>
      </w:r>
      <w:r w:rsidR="00807BF9" w:rsidRPr="004C4F16">
        <w:rPr>
          <w:rFonts w:asciiTheme="minorHAnsi" w:eastAsiaTheme="minorEastAsia" w:hAnsiTheme="minorHAnsi" w:cstheme="minorHAnsi"/>
          <w:color w:val="auto"/>
          <w:sz w:val="18"/>
          <w:szCs w:val="18"/>
        </w:rPr>
        <w:t>, G. (2014)</w:t>
      </w:r>
      <w:r w:rsidRPr="004C4F16">
        <w:rPr>
          <w:rFonts w:asciiTheme="minorHAnsi" w:eastAsiaTheme="minorEastAsia" w:hAnsiTheme="minorHAnsi" w:cstheme="minorHAnsi"/>
          <w:color w:val="auto"/>
          <w:sz w:val="18"/>
          <w:szCs w:val="18"/>
        </w:rPr>
        <w:t xml:space="preserve"> Best Practice Teacher Education Programs and Australia’s Own Programs. Canberra: Department of Education. </w:t>
      </w:r>
    </w:p>
    <w:p w:rsidR="009E2B48" w:rsidRPr="004C4F16" w:rsidRDefault="009E2B48" w:rsidP="009E2B48">
      <w:pPr>
        <w:autoSpaceDE w:val="0"/>
        <w:autoSpaceDN w:val="0"/>
        <w:adjustRightInd w:val="0"/>
        <w:ind w:left="720" w:hanging="720"/>
        <w:rPr>
          <w:rFonts w:asciiTheme="minorHAnsi" w:eastAsiaTheme="minorEastAsia" w:hAnsiTheme="minorHAnsi" w:cs="Arial"/>
          <w:color w:val="auto"/>
          <w:sz w:val="18"/>
          <w:szCs w:val="18"/>
          <w:lang w:val="en-GB"/>
        </w:rPr>
      </w:pPr>
      <w:r w:rsidRPr="004C4F16">
        <w:rPr>
          <w:rFonts w:asciiTheme="minorHAnsi" w:eastAsiaTheme="minorEastAsia" w:hAnsiTheme="minorHAnsi" w:cs="Arial"/>
          <w:color w:val="auto"/>
          <w:sz w:val="18"/>
          <w:szCs w:val="18"/>
          <w:lang w:val="en-GB"/>
        </w:rPr>
        <w:t>Jensen, B., Sonnemann, J., Roberts-Hull K., &amp; Hunter, A. (2016) Beyond PD: Teacher Professional Learning in High-Performing Systems. Washington, DC: National Center on Education and the Economy.</w:t>
      </w:r>
    </w:p>
    <w:p w:rsidR="00843719" w:rsidRPr="004C4F16" w:rsidRDefault="00843719" w:rsidP="009E2B48">
      <w:pPr>
        <w:autoSpaceDE w:val="0"/>
        <w:autoSpaceDN w:val="0"/>
        <w:adjustRightInd w:val="0"/>
        <w:ind w:left="720" w:hanging="720"/>
        <w:rPr>
          <w:rFonts w:asciiTheme="minorHAnsi" w:eastAsiaTheme="minorEastAsia" w:hAnsiTheme="minorHAnsi" w:cs="Arial"/>
          <w:color w:val="auto"/>
          <w:sz w:val="18"/>
          <w:szCs w:val="18"/>
          <w:lang w:val="en-GB"/>
        </w:rPr>
      </w:pPr>
      <w:r w:rsidRPr="004C4F16">
        <w:rPr>
          <w:rFonts w:asciiTheme="minorHAnsi" w:eastAsiaTheme="minorEastAsia" w:hAnsiTheme="minorHAnsi" w:cs="Arial"/>
          <w:color w:val="auto"/>
          <w:sz w:val="18"/>
          <w:szCs w:val="18"/>
          <w:lang w:val="en-GB"/>
        </w:rPr>
        <w:t>Kirby, S., McCombs, J., Barney, H. and Naftel, S. (2006) Reforming Teacher Education: Something Old, Something New. Santa Monica, CA: RAND Corporation.</w:t>
      </w:r>
    </w:p>
    <w:p w:rsidR="000661AB" w:rsidRPr="004C4F16" w:rsidRDefault="000661AB" w:rsidP="000661AB">
      <w:pPr>
        <w:ind w:left="720" w:hanging="720"/>
        <w:rPr>
          <w:rFonts w:asciiTheme="minorHAnsi" w:eastAsiaTheme="minorEastAsia" w:hAnsiTheme="minorHAnsi" w:cs="Arial"/>
          <w:color w:val="auto"/>
          <w:sz w:val="18"/>
          <w:szCs w:val="18"/>
          <w:lang w:val="en-GB"/>
        </w:rPr>
      </w:pPr>
      <w:r w:rsidRPr="004C4F16">
        <w:rPr>
          <w:rFonts w:asciiTheme="minorHAnsi" w:eastAsiaTheme="minorEastAsia" w:hAnsiTheme="minorHAnsi" w:cs="Arial"/>
          <w:color w:val="auto"/>
          <w:sz w:val="18"/>
          <w:szCs w:val="18"/>
          <w:lang w:val="en-GB"/>
        </w:rPr>
        <w:t xml:space="preserve">Koedel, C. Ehlert. M., Parsons E. &amp; Podgursky, M. (2012) </w:t>
      </w:r>
      <w:r w:rsidRPr="004C4F16">
        <w:rPr>
          <w:rFonts w:asciiTheme="minorHAnsi" w:eastAsiaTheme="minorEastAsia" w:hAnsiTheme="minorHAnsi" w:cs="Arial"/>
          <w:i/>
          <w:color w:val="auto"/>
          <w:sz w:val="18"/>
          <w:szCs w:val="18"/>
          <w:lang w:val="en-GB"/>
        </w:rPr>
        <w:t>Selecting Growth Measures for School and Teacher Evaluations.</w:t>
      </w:r>
      <w:r w:rsidRPr="004C4F16">
        <w:rPr>
          <w:rFonts w:asciiTheme="minorHAnsi" w:eastAsiaTheme="minorEastAsia" w:hAnsiTheme="minorHAnsi" w:cs="Arial"/>
          <w:color w:val="auto"/>
          <w:sz w:val="18"/>
          <w:szCs w:val="18"/>
          <w:lang w:val="en-GB"/>
        </w:rPr>
        <w:t xml:space="preserve"> Working Paper 1210. Department of Economics, University of Missouri. </w:t>
      </w:r>
      <w:hyperlink r:id="rId23" w:history="1">
        <w:r w:rsidR="00F823B7" w:rsidRPr="007D63AE">
          <w:rPr>
            <w:rStyle w:val="Hyperlink"/>
            <w:rFonts w:asciiTheme="minorHAnsi" w:eastAsiaTheme="minorEastAsia" w:hAnsiTheme="minorHAnsi" w:cs="Arial"/>
            <w:sz w:val="18"/>
            <w:szCs w:val="18"/>
            <w:lang w:val="en-GB"/>
          </w:rPr>
          <w:t>https://ideas.repec.org/p/umc/wpaper/1210.html</w:t>
        </w:r>
      </w:hyperlink>
      <w:r w:rsidR="00F823B7">
        <w:rPr>
          <w:rFonts w:asciiTheme="minorHAnsi" w:eastAsiaTheme="minorEastAsia" w:hAnsiTheme="minorHAnsi" w:cs="Arial"/>
          <w:color w:val="auto"/>
          <w:sz w:val="18"/>
          <w:szCs w:val="18"/>
          <w:lang w:val="en-GB"/>
        </w:rPr>
        <w:t xml:space="preserve"> </w:t>
      </w:r>
    </w:p>
    <w:p w:rsidR="00CB2B0E" w:rsidRPr="004C4F16" w:rsidRDefault="00CB2B0E" w:rsidP="00843719">
      <w:pPr>
        <w:ind w:left="720" w:hanging="720"/>
        <w:rPr>
          <w:rFonts w:asciiTheme="minorHAnsi" w:hAnsiTheme="minorHAnsi"/>
          <w:sz w:val="18"/>
          <w:szCs w:val="18"/>
        </w:rPr>
      </w:pPr>
      <w:r w:rsidRPr="004C4F16">
        <w:rPr>
          <w:rFonts w:asciiTheme="minorHAnsi" w:hAnsiTheme="minorHAnsi"/>
          <w:sz w:val="18"/>
          <w:szCs w:val="18"/>
        </w:rPr>
        <w:t>Koedel, C., Parsons, E., Pod</w:t>
      </w:r>
      <w:r w:rsidR="00807BF9" w:rsidRPr="004C4F16">
        <w:rPr>
          <w:rFonts w:asciiTheme="minorHAnsi" w:hAnsiTheme="minorHAnsi"/>
          <w:sz w:val="18"/>
          <w:szCs w:val="18"/>
        </w:rPr>
        <w:t>gursky, M., &amp; Ehlert, M. (2015)</w:t>
      </w:r>
      <w:r w:rsidRPr="004C4F16">
        <w:rPr>
          <w:rFonts w:asciiTheme="minorHAnsi" w:hAnsiTheme="minorHAnsi"/>
          <w:sz w:val="18"/>
          <w:szCs w:val="18"/>
        </w:rPr>
        <w:t xml:space="preserve"> Teacher preparation programs and teacher quality: are there real differences across programs? </w:t>
      </w:r>
      <w:r w:rsidRPr="004C4F16">
        <w:rPr>
          <w:rFonts w:asciiTheme="minorHAnsi" w:hAnsiTheme="minorHAnsi" w:cs="EKJLE L+ Gulliver"/>
          <w:i/>
          <w:iCs/>
          <w:sz w:val="18"/>
          <w:szCs w:val="18"/>
        </w:rPr>
        <w:t xml:space="preserve">Education Finance and Policy, 10 </w:t>
      </w:r>
      <w:r w:rsidRPr="004C4F16">
        <w:rPr>
          <w:rFonts w:asciiTheme="minorHAnsi" w:hAnsiTheme="minorHAnsi"/>
          <w:sz w:val="18"/>
          <w:szCs w:val="18"/>
        </w:rPr>
        <w:t xml:space="preserve">(4), 508–534. </w:t>
      </w:r>
    </w:p>
    <w:p w:rsidR="00C947CD" w:rsidRPr="004C4F16" w:rsidRDefault="009254B7" w:rsidP="00843719">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Larsen, M. (2010) </w:t>
      </w:r>
      <w:r w:rsidR="00C947CD" w:rsidRPr="004C4F16">
        <w:rPr>
          <w:rFonts w:asciiTheme="minorHAnsi" w:eastAsiaTheme="minorEastAsia" w:hAnsiTheme="minorHAnsi" w:cstheme="minorHAnsi"/>
          <w:color w:val="auto"/>
          <w:sz w:val="18"/>
          <w:szCs w:val="18"/>
        </w:rPr>
        <w:t>Troubling the Discourse of Teacher Central</w:t>
      </w:r>
      <w:r w:rsidRPr="004C4F16">
        <w:rPr>
          <w:rFonts w:asciiTheme="minorHAnsi" w:eastAsiaTheme="minorEastAsia" w:hAnsiTheme="minorHAnsi" w:cstheme="minorHAnsi"/>
          <w:color w:val="auto"/>
          <w:sz w:val="18"/>
          <w:szCs w:val="18"/>
        </w:rPr>
        <w:t>ity: A Comparative Perspective.</w:t>
      </w:r>
      <w:r w:rsidR="00C947CD" w:rsidRPr="004C4F16">
        <w:rPr>
          <w:rFonts w:asciiTheme="minorHAnsi" w:eastAsiaTheme="minorEastAsia" w:hAnsiTheme="minorHAnsi" w:cstheme="minorHAnsi"/>
          <w:color w:val="auto"/>
          <w:sz w:val="18"/>
          <w:szCs w:val="18"/>
        </w:rPr>
        <w:t xml:space="preserve"> </w:t>
      </w:r>
      <w:r w:rsidR="00C947CD" w:rsidRPr="004C4F16">
        <w:rPr>
          <w:rFonts w:asciiTheme="minorHAnsi" w:eastAsiaTheme="minorEastAsia" w:hAnsiTheme="minorHAnsi" w:cstheme="minorHAnsi"/>
          <w:i/>
          <w:color w:val="auto"/>
          <w:sz w:val="18"/>
          <w:szCs w:val="18"/>
        </w:rPr>
        <w:t>Journal of Education Policy</w:t>
      </w:r>
      <w:r w:rsidR="00C947CD" w:rsidRPr="004C4F16">
        <w:rPr>
          <w:rFonts w:asciiTheme="minorHAnsi" w:eastAsiaTheme="minorEastAsia" w:hAnsiTheme="minorHAnsi" w:cstheme="minorHAnsi"/>
          <w:color w:val="auto"/>
          <w:sz w:val="18"/>
          <w:szCs w:val="18"/>
        </w:rPr>
        <w:t xml:space="preserve"> 25 (2): 207–231. </w:t>
      </w:r>
    </w:p>
    <w:p w:rsidR="00772CD7" w:rsidRPr="004C4F16" w:rsidRDefault="00772CD7"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Le Fevre, D., Timperley, H. &amp; Ell, F. (2015) Curriculum &amp; Pedagogy: The Future of Teacher Professional Learning and the Development of Adaptive Expertise. In Wyse, D., Hayward, L. &amp; Pandya, J. (eds) </w:t>
      </w:r>
      <w:r w:rsidRPr="004C4F16">
        <w:rPr>
          <w:rFonts w:asciiTheme="minorHAnsi" w:eastAsiaTheme="minorEastAsia" w:hAnsiTheme="minorHAnsi" w:cstheme="minorHAnsi"/>
          <w:i/>
          <w:color w:val="auto"/>
          <w:sz w:val="18"/>
          <w:szCs w:val="18"/>
        </w:rPr>
        <w:t>The Sage Handbook of Curriculum, Pedagogy &amp; Assessment</w:t>
      </w:r>
      <w:r w:rsidRPr="004C4F16">
        <w:rPr>
          <w:rFonts w:asciiTheme="minorHAnsi" w:eastAsiaTheme="minorEastAsia" w:hAnsiTheme="minorHAnsi" w:cstheme="minorHAnsi"/>
          <w:color w:val="auto"/>
          <w:sz w:val="18"/>
          <w:szCs w:val="18"/>
        </w:rPr>
        <w:t>. London: Sage, pp. 309-324.</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Louden, W. </w:t>
      </w:r>
      <w:r w:rsidR="009254B7" w:rsidRPr="004C4F16">
        <w:rPr>
          <w:rFonts w:asciiTheme="minorHAnsi" w:eastAsiaTheme="minorEastAsia" w:hAnsiTheme="minorHAnsi" w:cstheme="minorHAnsi"/>
          <w:color w:val="auto"/>
          <w:sz w:val="18"/>
          <w:szCs w:val="18"/>
        </w:rPr>
        <w:t>(</w:t>
      </w:r>
      <w:r w:rsidRPr="004C4F16">
        <w:rPr>
          <w:rFonts w:asciiTheme="minorHAnsi" w:eastAsiaTheme="minorEastAsia" w:hAnsiTheme="minorHAnsi" w:cstheme="minorHAnsi"/>
          <w:color w:val="auto"/>
          <w:sz w:val="18"/>
          <w:szCs w:val="18"/>
        </w:rPr>
        <w:t>2008</w:t>
      </w:r>
      <w:r w:rsidR="009254B7"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color w:val="auto"/>
          <w:sz w:val="18"/>
          <w:szCs w:val="18"/>
        </w:rPr>
        <w:t xml:space="preserve">101 Damnations: The Persistence of Criticism and the Absence of Evidence about </w:t>
      </w:r>
      <w:r w:rsidR="009254B7" w:rsidRPr="004C4F16">
        <w:rPr>
          <w:rFonts w:asciiTheme="minorHAnsi" w:eastAsiaTheme="minorEastAsia" w:hAnsiTheme="minorHAnsi" w:cstheme="minorHAnsi"/>
          <w:color w:val="auto"/>
          <w:sz w:val="18"/>
          <w:szCs w:val="18"/>
        </w:rPr>
        <w:t>Teacher Education in Australia.</w:t>
      </w:r>
      <w:r w:rsidRPr="004C4F16">
        <w:rPr>
          <w:rFonts w:asciiTheme="minorHAnsi" w:eastAsiaTheme="minorEastAsia" w:hAnsiTheme="minorHAnsi" w:cstheme="minorHAnsi"/>
          <w:i/>
          <w:color w:val="auto"/>
          <w:sz w:val="18"/>
          <w:szCs w:val="18"/>
        </w:rPr>
        <w:t xml:space="preserve"> Teachers and Teaching</w:t>
      </w:r>
      <w:r w:rsidR="009254B7" w:rsidRPr="004C4F16">
        <w:rPr>
          <w:rFonts w:asciiTheme="minorHAnsi" w:eastAsiaTheme="minorEastAsia" w:hAnsiTheme="minorHAnsi" w:cstheme="minorHAnsi"/>
          <w:color w:val="auto"/>
          <w:sz w:val="18"/>
          <w:szCs w:val="18"/>
        </w:rPr>
        <w:t>,</w:t>
      </w:r>
      <w:r w:rsidRPr="004C4F16">
        <w:rPr>
          <w:rFonts w:asciiTheme="minorHAnsi" w:eastAsiaTheme="minorEastAsia" w:hAnsiTheme="minorHAnsi" w:cstheme="minorHAnsi"/>
          <w:color w:val="auto"/>
          <w:sz w:val="18"/>
          <w:szCs w:val="18"/>
        </w:rPr>
        <w:t xml:space="preserve"> 14 (4): 357–368.</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Lynch, S., Worth, J., Bamfo</w:t>
      </w:r>
      <w:r w:rsidR="00F823B7">
        <w:rPr>
          <w:rFonts w:asciiTheme="minorHAnsi" w:eastAsiaTheme="minorEastAsia" w:hAnsiTheme="minorHAnsi" w:cstheme="minorHAnsi"/>
          <w:color w:val="auto"/>
          <w:sz w:val="18"/>
          <w:szCs w:val="18"/>
        </w:rPr>
        <w:t>rd, S. and Wespieser, K. (2016)</w:t>
      </w:r>
      <w:r w:rsidRPr="004C4F16">
        <w:rPr>
          <w:rFonts w:asciiTheme="minorHAnsi" w:eastAsiaTheme="minorEastAsia" w:hAnsiTheme="minorHAnsi" w:cstheme="minorHAnsi"/>
          <w:color w:val="auto"/>
          <w:sz w:val="18"/>
          <w:szCs w:val="18"/>
        </w:rPr>
        <w:t xml:space="preserve"> Engaging Teachers: NFER Analysis of Teacher Retention. Slough: NFER. </w:t>
      </w:r>
      <w:hyperlink r:id="rId24" w:history="1">
        <w:r w:rsidR="00000C89" w:rsidRPr="004C4F16">
          <w:rPr>
            <w:rStyle w:val="Hyperlink"/>
            <w:rFonts w:asciiTheme="minorHAnsi" w:eastAsiaTheme="minorEastAsia" w:hAnsiTheme="minorHAnsi" w:cstheme="minorHAnsi"/>
            <w:sz w:val="18"/>
            <w:szCs w:val="18"/>
          </w:rPr>
          <w:t>https://www.nfer.ac.uk/publications/LFSB01/LFSB01.pdf</w:t>
        </w:r>
      </w:hyperlink>
      <w:r w:rsidR="00000C89"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color w:val="auto"/>
          <w:sz w:val="18"/>
          <w:szCs w:val="18"/>
        </w:rPr>
        <w:t xml:space="preserve"> </w:t>
      </w:r>
    </w:p>
    <w:p w:rsidR="00D97B5E" w:rsidRPr="004C4F16" w:rsidRDefault="00D97B5E" w:rsidP="00D97B5E">
      <w:pPr>
        <w:pStyle w:val="ydpac2c580fmsobibliography"/>
        <w:spacing w:before="2" w:after="2"/>
        <w:ind w:left="709" w:hanging="709"/>
        <w:rPr>
          <w:rFonts w:asciiTheme="minorHAnsi" w:hAnsiTheme="minorHAnsi" w:cstheme="minorHAnsi"/>
          <w:sz w:val="18"/>
          <w:szCs w:val="18"/>
          <w:lang w:val="en-US"/>
        </w:rPr>
      </w:pPr>
      <w:r w:rsidRPr="004C4F16">
        <w:rPr>
          <w:rFonts w:asciiTheme="minorHAnsi" w:hAnsiTheme="minorHAnsi" w:cstheme="minorHAnsi"/>
          <w:sz w:val="18"/>
          <w:szCs w:val="18"/>
          <w:lang w:val="en-US"/>
        </w:rPr>
        <w:t xml:space="preserve">Mangiante, E. M. S. (2011) Teachers matter: Measures of teacher effectiveness in low-income minority schools, </w:t>
      </w:r>
      <w:r w:rsidRPr="004C4F16">
        <w:rPr>
          <w:rFonts w:asciiTheme="minorHAnsi" w:hAnsiTheme="minorHAnsi" w:cstheme="minorHAnsi"/>
          <w:i/>
          <w:sz w:val="18"/>
          <w:szCs w:val="18"/>
          <w:lang w:val="en-US"/>
        </w:rPr>
        <w:t>Educational Assessment, Evaluation and Accountability</w:t>
      </w:r>
      <w:r w:rsidRPr="004C4F16">
        <w:rPr>
          <w:rFonts w:asciiTheme="minorHAnsi" w:hAnsiTheme="minorHAnsi" w:cstheme="minorHAnsi"/>
          <w:sz w:val="18"/>
          <w:szCs w:val="18"/>
          <w:lang w:val="en-US"/>
        </w:rPr>
        <w:t xml:space="preserve">, 23(1), 41–63. </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Mayer, D. (2015) An approach to the accreditation of initial teacher education programs based on evidence of the impact of learning teaching, Australian Institute for Teaching and School Leadership, Melbourne. </w:t>
      </w:r>
      <w:hyperlink r:id="rId25" w:history="1">
        <w:r w:rsidR="009254B7" w:rsidRPr="004C4F16">
          <w:rPr>
            <w:rStyle w:val="Hyperlink"/>
            <w:rFonts w:asciiTheme="minorHAnsi" w:eastAsiaTheme="minorEastAsia" w:hAnsiTheme="minorHAnsi" w:cstheme="minorHAnsi"/>
            <w:sz w:val="18"/>
            <w:szCs w:val="18"/>
          </w:rPr>
          <w:t>http://www.aitsl.edu.au/docs/default-source/initial-teacher-education-resources/ite-reform-stimulus-paper-1-mayer.pdf</w:t>
        </w:r>
      </w:hyperlink>
      <w:r w:rsidR="009254B7" w:rsidRPr="004C4F16">
        <w:rPr>
          <w:rFonts w:asciiTheme="minorHAnsi" w:eastAsiaTheme="minorEastAsia" w:hAnsiTheme="minorHAnsi" w:cstheme="minorHAnsi"/>
          <w:color w:val="auto"/>
          <w:sz w:val="18"/>
          <w:szCs w:val="18"/>
        </w:rPr>
        <w:t xml:space="preserve"> </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Mayer, D. (2015) Studying the effect</w:t>
      </w:r>
      <w:r w:rsidR="009254B7" w:rsidRPr="004C4F16">
        <w:rPr>
          <w:rFonts w:asciiTheme="minorHAnsi" w:eastAsiaTheme="minorEastAsia" w:hAnsiTheme="minorHAnsi" w:cstheme="minorHAnsi"/>
          <w:color w:val="auto"/>
          <w:sz w:val="18"/>
          <w:szCs w:val="18"/>
        </w:rPr>
        <w:t>iveness of teacher education – Final Re</w:t>
      </w:r>
      <w:r w:rsidRPr="004C4F16">
        <w:rPr>
          <w:rFonts w:asciiTheme="minorHAnsi" w:eastAsiaTheme="minorEastAsia" w:hAnsiTheme="minorHAnsi" w:cstheme="minorHAnsi"/>
          <w:color w:val="auto"/>
          <w:sz w:val="18"/>
          <w:szCs w:val="18"/>
        </w:rPr>
        <w:t>port. Geelong, VIC: Deakin University.</w:t>
      </w:r>
    </w:p>
    <w:p w:rsidR="00D97B5E" w:rsidRPr="004C4F16" w:rsidRDefault="0055124A" w:rsidP="00D97B5E">
      <w:pPr>
        <w:pStyle w:val="Bibliography"/>
        <w:spacing w:before="2" w:after="2"/>
        <w:ind w:left="709" w:hanging="709"/>
        <w:rPr>
          <w:rFonts w:asciiTheme="minorHAnsi" w:eastAsiaTheme="minorEastAsia" w:hAnsiTheme="minorHAnsi" w:cstheme="minorHAnsi"/>
          <w:color w:val="auto"/>
          <w:sz w:val="18"/>
          <w:szCs w:val="18"/>
        </w:rPr>
      </w:pPr>
      <w:r>
        <w:rPr>
          <w:rFonts w:asciiTheme="minorHAnsi" w:eastAsiaTheme="minorEastAsia" w:hAnsiTheme="minorHAnsi" w:cstheme="minorHAnsi"/>
          <w:color w:val="auto"/>
          <w:sz w:val="18"/>
          <w:szCs w:val="18"/>
        </w:rPr>
        <w:t xml:space="preserve">Mihaly, K., </w:t>
      </w:r>
      <w:r w:rsidRPr="0055124A">
        <w:rPr>
          <w:rFonts w:asciiTheme="minorHAnsi" w:eastAsiaTheme="minorEastAsia" w:hAnsiTheme="minorHAnsi" w:cstheme="minorHAnsi"/>
          <w:color w:val="auto"/>
          <w:sz w:val="18"/>
          <w:szCs w:val="18"/>
        </w:rPr>
        <w:t>McCaffrey, D., Sass, T.R., Lockwood, J.R. &amp; Wooldridge, J.</w:t>
      </w:r>
      <w:r w:rsidR="00D97B5E" w:rsidRPr="004C4F16">
        <w:rPr>
          <w:rFonts w:asciiTheme="minorHAnsi" w:eastAsiaTheme="minorEastAsia" w:hAnsiTheme="minorHAnsi" w:cstheme="minorHAnsi"/>
          <w:color w:val="auto"/>
          <w:sz w:val="18"/>
          <w:szCs w:val="18"/>
        </w:rPr>
        <w:t xml:space="preserve"> (2012) </w:t>
      </w:r>
      <w:r w:rsidR="00D97B5E" w:rsidRPr="004C4F16">
        <w:rPr>
          <w:rFonts w:asciiTheme="minorHAnsi" w:eastAsiaTheme="minorEastAsia" w:hAnsiTheme="minorHAnsi" w:cstheme="minorHAnsi"/>
          <w:i/>
          <w:color w:val="auto"/>
          <w:sz w:val="18"/>
          <w:szCs w:val="18"/>
        </w:rPr>
        <w:t>Where You Come from or Where You Go? Distinguishing between School Quality and the Effectiveness of Teacher Preparation Program Graduates</w:t>
      </w:r>
      <w:r w:rsidR="00D97B5E" w:rsidRPr="004C4F16">
        <w:rPr>
          <w:rFonts w:asciiTheme="minorHAnsi" w:eastAsiaTheme="minorEastAsia" w:hAnsiTheme="minorHAnsi" w:cstheme="minorHAnsi"/>
          <w:color w:val="auto"/>
          <w:sz w:val="18"/>
          <w:szCs w:val="18"/>
        </w:rPr>
        <w:t xml:space="preserve">. SSRN Scholarly Paper ID 2020722. Rochester, NY: Social Science Research Network. </w:t>
      </w:r>
      <w:hyperlink r:id="rId26" w:history="1">
        <w:r w:rsidRPr="007D63AE">
          <w:rPr>
            <w:rStyle w:val="Hyperlink"/>
            <w:rFonts w:asciiTheme="minorHAnsi" w:eastAsiaTheme="minorEastAsia" w:hAnsiTheme="minorHAnsi" w:cstheme="minorHAnsi"/>
            <w:sz w:val="18"/>
            <w:szCs w:val="18"/>
          </w:rPr>
          <w:t>https://papers.ssrn.com/abstract=2020722</w:t>
        </w:r>
      </w:hyperlink>
      <w:r>
        <w:rPr>
          <w:rFonts w:asciiTheme="minorHAnsi" w:eastAsiaTheme="minorEastAsia" w:hAnsiTheme="minorHAnsi" w:cstheme="minorHAnsi"/>
          <w:color w:val="auto"/>
          <w:sz w:val="18"/>
          <w:szCs w:val="18"/>
        </w:rPr>
        <w:t xml:space="preserve"> </w:t>
      </w:r>
      <w:r w:rsidR="00D97B5E" w:rsidRPr="004C4F16">
        <w:rPr>
          <w:rFonts w:asciiTheme="minorHAnsi" w:eastAsiaTheme="minorEastAsia" w:hAnsiTheme="minorHAnsi" w:cstheme="minorHAnsi"/>
          <w:color w:val="auto"/>
          <w:sz w:val="18"/>
          <w:szCs w:val="18"/>
        </w:rPr>
        <w:t xml:space="preserve"> </w:t>
      </w:r>
    </w:p>
    <w:p w:rsidR="00807BF9" w:rsidRPr="004C4F16" w:rsidRDefault="00807BF9" w:rsidP="00807BF9">
      <w:pPr>
        <w:ind w:left="720" w:hanging="720"/>
        <w:rPr>
          <w:rFonts w:asciiTheme="minorHAnsi" w:hAnsiTheme="minorHAnsi" w:cs="Arial"/>
          <w:color w:val="auto"/>
          <w:sz w:val="18"/>
          <w:szCs w:val="18"/>
        </w:rPr>
      </w:pPr>
      <w:r w:rsidRPr="004C4F16">
        <w:rPr>
          <w:rFonts w:asciiTheme="minorHAnsi" w:hAnsiTheme="minorHAnsi" w:cs="Arial"/>
          <w:color w:val="auto"/>
          <w:sz w:val="18"/>
          <w:szCs w:val="18"/>
        </w:rPr>
        <w:t>McNamara, O. &amp; Murray, J. (2013) The School Direct programme and its implications for research-informed teacher education and teacher educators. In Florian, L.&amp; Nataša Pantić (eds) Learning to Teach, York: Higher Education Academy, pp.10-19.</w:t>
      </w:r>
    </w:p>
    <w:p w:rsidR="001C26B6" w:rsidRPr="004C4F16" w:rsidRDefault="001C26B6" w:rsidP="00807BF9">
      <w:pPr>
        <w:ind w:left="720" w:hanging="720"/>
        <w:rPr>
          <w:rFonts w:asciiTheme="minorHAnsi" w:hAnsiTheme="minorHAnsi" w:cs="Arial"/>
          <w:color w:val="auto"/>
          <w:sz w:val="18"/>
          <w:szCs w:val="18"/>
        </w:rPr>
      </w:pPr>
      <w:r w:rsidRPr="004C4F16">
        <w:rPr>
          <w:rFonts w:asciiTheme="minorHAnsi" w:hAnsiTheme="minorHAnsi" w:cs="Arial"/>
          <w:color w:val="auto"/>
          <w:sz w:val="18"/>
          <w:szCs w:val="18"/>
        </w:rPr>
        <w:t xml:space="preserve">Menter, I., Hulme, M., Murray, J., Campbell, A., Hextall, I., Jones, M., Mahony, P., Procter, R. &amp; Wall, K. (2010) </w:t>
      </w:r>
      <w:r w:rsidRPr="004C4F16">
        <w:rPr>
          <w:rFonts w:asciiTheme="minorHAnsi" w:hAnsiTheme="minorHAnsi" w:cs="Arial"/>
          <w:bCs/>
          <w:color w:val="auto"/>
          <w:sz w:val="18"/>
          <w:szCs w:val="18"/>
        </w:rPr>
        <w:t>Teacher education research in the UK: the state of the art</w:t>
      </w:r>
      <w:r w:rsidRPr="004C4F16">
        <w:rPr>
          <w:rFonts w:asciiTheme="minorHAnsi" w:hAnsiTheme="minorHAnsi" w:cs="Arial"/>
          <w:color w:val="auto"/>
          <w:sz w:val="18"/>
          <w:szCs w:val="18"/>
        </w:rPr>
        <w:t xml:space="preserve">. </w:t>
      </w:r>
      <w:r w:rsidRPr="004C4F16">
        <w:rPr>
          <w:rFonts w:asciiTheme="minorHAnsi" w:hAnsiTheme="minorHAnsi" w:cs="Arial"/>
          <w:i/>
          <w:color w:val="auto"/>
          <w:sz w:val="18"/>
          <w:szCs w:val="18"/>
        </w:rPr>
        <w:t>Revue Suisse des sciences de l'education</w:t>
      </w:r>
      <w:r w:rsidRPr="004C4F16">
        <w:rPr>
          <w:rFonts w:asciiTheme="minorHAnsi" w:hAnsiTheme="minorHAnsi" w:cs="Arial"/>
          <w:color w:val="auto"/>
          <w:sz w:val="18"/>
          <w:szCs w:val="18"/>
        </w:rPr>
        <w:t>, 32(1)121-142.</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Menter, I. Hulme, M., Elliot, D. and Lewin, J. (2010) Literature Review on Teacher Education in the 21st Century, </w:t>
      </w:r>
      <w:hyperlink r:id="rId27" w:history="1">
        <w:r w:rsidR="009254B7" w:rsidRPr="004C4F16">
          <w:rPr>
            <w:rStyle w:val="Hyperlink"/>
            <w:rFonts w:asciiTheme="minorHAnsi" w:eastAsiaTheme="minorEastAsia" w:hAnsiTheme="minorHAnsi" w:cstheme="minorHAnsi"/>
            <w:sz w:val="18"/>
            <w:szCs w:val="18"/>
          </w:rPr>
          <w:t>http://www.gov.scot/resource/doc/325663/0105011.pdf</w:t>
        </w:r>
      </w:hyperlink>
      <w:r w:rsidR="009254B7"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color w:val="auto"/>
          <w:sz w:val="18"/>
          <w:szCs w:val="18"/>
        </w:rPr>
        <w:t xml:space="preserve"> </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lastRenderedPageBreak/>
        <w:t xml:space="preserve">Murray, S., Nuttall, J. &amp; Mitchell, J. (2008). Research into initial teacher education in Australia: a survey of the literature 1995‐2004. </w:t>
      </w:r>
      <w:r w:rsidRPr="004C4F16">
        <w:rPr>
          <w:rFonts w:asciiTheme="minorHAnsi" w:eastAsiaTheme="minorEastAsia" w:hAnsiTheme="minorHAnsi" w:cstheme="minorHAnsi"/>
          <w:i/>
          <w:color w:val="auto"/>
          <w:sz w:val="18"/>
          <w:szCs w:val="18"/>
        </w:rPr>
        <w:t>Teaching and Teacher Education</w:t>
      </w:r>
      <w:r w:rsidRPr="004C4F16">
        <w:rPr>
          <w:rFonts w:asciiTheme="minorHAnsi" w:eastAsiaTheme="minorEastAsia" w:hAnsiTheme="minorHAnsi" w:cstheme="minorHAnsi"/>
          <w:color w:val="auto"/>
          <w:sz w:val="18"/>
          <w:szCs w:val="18"/>
        </w:rPr>
        <w:t>, 24(1), 225‐239.</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Mutton, T., Burn, K. &amp; Menter, I. (2017) Deconstructing the Carter Review: competing conceptions of quality in England’s ‘school-led’ system of initial teacher education, Jo</w:t>
      </w:r>
      <w:r w:rsidR="001C26B6" w:rsidRPr="004C4F16">
        <w:rPr>
          <w:rFonts w:asciiTheme="minorHAnsi" w:eastAsiaTheme="minorEastAsia" w:hAnsiTheme="minorHAnsi" w:cstheme="minorHAnsi"/>
          <w:color w:val="auto"/>
          <w:sz w:val="18"/>
          <w:szCs w:val="18"/>
        </w:rPr>
        <w:t>urnal of Education Policy, 32(1):</w:t>
      </w:r>
      <w:r w:rsidRPr="004C4F16">
        <w:rPr>
          <w:rFonts w:asciiTheme="minorHAnsi" w:eastAsiaTheme="minorEastAsia" w:hAnsiTheme="minorHAnsi" w:cstheme="minorHAnsi"/>
          <w:color w:val="auto"/>
          <w:sz w:val="18"/>
          <w:szCs w:val="18"/>
        </w:rPr>
        <w:t xml:space="preserve"> 14-33, </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Mockler, N. (2018) Early career teachers in Australia: a critical policy historiography, </w:t>
      </w:r>
      <w:r w:rsidRPr="004C4F16">
        <w:rPr>
          <w:rFonts w:asciiTheme="minorHAnsi" w:eastAsiaTheme="minorEastAsia" w:hAnsiTheme="minorHAnsi" w:cstheme="minorHAnsi"/>
          <w:i/>
          <w:color w:val="auto"/>
          <w:sz w:val="18"/>
          <w:szCs w:val="18"/>
        </w:rPr>
        <w:t>Journal of Education Policy</w:t>
      </w:r>
      <w:r w:rsidR="001C26B6" w:rsidRPr="004C4F16">
        <w:rPr>
          <w:rFonts w:asciiTheme="minorHAnsi" w:eastAsiaTheme="minorEastAsia" w:hAnsiTheme="minorHAnsi" w:cstheme="minorHAnsi"/>
          <w:color w:val="auto"/>
          <w:sz w:val="18"/>
          <w:szCs w:val="18"/>
        </w:rPr>
        <w:t>, 33(2):</w:t>
      </w:r>
      <w:r w:rsidRPr="004C4F16">
        <w:rPr>
          <w:rFonts w:asciiTheme="minorHAnsi" w:eastAsiaTheme="minorEastAsia" w:hAnsiTheme="minorHAnsi" w:cstheme="minorHAnsi"/>
          <w:color w:val="auto"/>
          <w:sz w:val="18"/>
          <w:szCs w:val="18"/>
        </w:rPr>
        <w:t xml:space="preserve"> 262-278,</w:t>
      </w:r>
    </w:p>
    <w:p w:rsidR="00864FFE"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Mourshed, M, Chijioke, C &amp; Barber, M (2010). How the world’s most improved school systems come out on top. London:  McKinsey and Company. </w:t>
      </w:r>
    </w:p>
    <w:p w:rsidR="00000C89" w:rsidRPr="004C4F16" w:rsidRDefault="00000C89"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OECD (2005) Teachers Matter: Attracting, Developing and Retaining Effective Teachers</w:t>
      </w:r>
      <w:r w:rsidR="00F24256" w:rsidRPr="004C4F16">
        <w:rPr>
          <w:rFonts w:asciiTheme="minorHAnsi" w:eastAsiaTheme="minorEastAsia" w:hAnsiTheme="minorHAnsi" w:cstheme="minorHAnsi"/>
          <w:color w:val="auto"/>
          <w:sz w:val="18"/>
          <w:szCs w:val="18"/>
        </w:rPr>
        <w:t xml:space="preserve">, </w:t>
      </w:r>
      <w:r w:rsidRPr="004C4F16">
        <w:rPr>
          <w:rFonts w:asciiTheme="minorHAnsi" w:eastAsiaTheme="minorEastAsia" w:hAnsiTheme="minorHAnsi" w:cstheme="minorHAnsi"/>
          <w:color w:val="auto"/>
          <w:sz w:val="18"/>
          <w:szCs w:val="18"/>
        </w:rPr>
        <w:t>Paris: OECD Publishing.</w:t>
      </w:r>
    </w:p>
    <w:p w:rsidR="00000C89" w:rsidRPr="004C4F16" w:rsidRDefault="00000C89" w:rsidP="00000C89">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OECD (2011) Teachers Matter: Attracting, Developing and Retaining Effective Teachers: Policy Pointers, Paris: OECD Publishing. </w:t>
      </w:r>
      <w:hyperlink r:id="rId28" w:history="1">
        <w:r w:rsidRPr="004C4F16">
          <w:rPr>
            <w:rStyle w:val="Hyperlink"/>
            <w:rFonts w:asciiTheme="minorHAnsi" w:eastAsiaTheme="minorEastAsia" w:hAnsiTheme="minorHAnsi" w:cstheme="minorHAnsi"/>
            <w:sz w:val="18"/>
            <w:szCs w:val="18"/>
          </w:rPr>
          <w:t>http://www.oecd.org/education/school/48627229.pdf</w:t>
        </w:r>
      </w:hyperlink>
      <w:r w:rsidRPr="004C4F16">
        <w:rPr>
          <w:rFonts w:asciiTheme="minorHAnsi" w:eastAsiaTheme="minorEastAsia" w:hAnsiTheme="minorHAnsi" w:cstheme="minorHAnsi"/>
          <w:color w:val="auto"/>
          <w:sz w:val="18"/>
          <w:szCs w:val="18"/>
        </w:rPr>
        <w:t xml:space="preserve"> </w:t>
      </w:r>
    </w:p>
    <w:p w:rsidR="001E7242" w:rsidRPr="004C4F16" w:rsidRDefault="001E7242"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OECD (2012) </w:t>
      </w:r>
      <w:r w:rsidRPr="004C4F16">
        <w:rPr>
          <w:rFonts w:asciiTheme="minorHAnsi" w:eastAsiaTheme="minorEastAsia" w:hAnsiTheme="minorHAnsi" w:cstheme="minorHAnsi"/>
          <w:i/>
          <w:color w:val="auto"/>
          <w:sz w:val="18"/>
          <w:szCs w:val="18"/>
        </w:rPr>
        <w:t>Equity and Quality in Education: Supporting Disadvantaged Schools and Students</w:t>
      </w:r>
      <w:r w:rsidRPr="004C4F16">
        <w:rPr>
          <w:rFonts w:asciiTheme="minorHAnsi" w:eastAsiaTheme="minorEastAsia" w:hAnsiTheme="minorHAnsi" w:cstheme="minorHAnsi"/>
          <w:color w:val="auto"/>
          <w:sz w:val="18"/>
          <w:szCs w:val="18"/>
        </w:rPr>
        <w:t>, Paris: OECD Publishing.</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Sahlberg, P., Broadfoot, P., Coolahan, </w:t>
      </w:r>
      <w:r w:rsidR="00807BF9" w:rsidRPr="004C4F16">
        <w:rPr>
          <w:rFonts w:asciiTheme="minorHAnsi" w:eastAsiaTheme="minorEastAsia" w:hAnsiTheme="minorHAnsi" w:cstheme="minorHAnsi"/>
          <w:color w:val="auto"/>
          <w:sz w:val="18"/>
          <w:szCs w:val="18"/>
        </w:rPr>
        <w:t>J., Furlong, J. &amp; Kirk, G. (2014)</w:t>
      </w:r>
      <w:r w:rsidRPr="004C4F16">
        <w:rPr>
          <w:rFonts w:asciiTheme="minorHAnsi" w:eastAsiaTheme="minorEastAsia" w:hAnsiTheme="minorHAnsi" w:cstheme="minorHAnsi"/>
          <w:color w:val="auto"/>
          <w:sz w:val="18"/>
          <w:szCs w:val="18"/>
        </w:rPr>
        <w:t xml:space="preserve"> Aspiring to Excellence.  Final report of the international review panel on the structure of initial teacher education in Northern Ireland. Belfast: DEL. </w:t>
      </w:r>
    </w:p>
    <w:p w:rsidR="00C947CD" w:rsidRPr="004C4F16" w:rsidRDefault="00807BF9"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National Audit Office (2016)</w:t>
      </w:r>
      <w:r w:rsidR="00C947CD" w:rsidRPr="004C4F16">
        <w:rPr>
          <w:rFonts w:asciiTheme="minorHAnsi" w:eastAsiaTheme="minorEastAsia" w:hAnsiTheme="minorHAnsi" w:cstheme="minorHAnsi"/>
          <w:color w:val="auto"/>
          <w:sz w:val="18"/>
          <w:szCs w:val="18"/>
        </w:rPr>
        <w:t xml:space="preserve"> Training New Teachers. </w:t>
      </w:r>
      <w:hyperlink r:id="rId29" w:history="1">
        <w:r w:rsidR="009254B7" w:rsidRPr="004C4F16">
          <w:rPr>
            <w:rStyle w:val="Hyperlink"/>
            <w:rFonts w:asciiTheme="minorHAnsi" w:eastAsiaTheme="minorEastAsia" w:hAnsiTheme="minorHAnsi" w:cstheme="minorHAnsi"/>
            <w:sz w:val="18"/>
            <w:szCs w:val="18"/>
          </w:rPr>
          <w:t>https://www.nao.org.uk/wpcontent/uploads/2016/02/Training-new-teachers.pdf</w:t>
        </w:r>
      </w:hyperlink>
      <w:r w:rsidR="009254B7" w:rsidRPr="004C4F16">
        <w:rPr>
          <w:rFonts w:asciiTheme="minorHAnsi" w:eastAsiaTheme="minorEastAsia" w:hAnsiTheme="minorHAnsi" w:cstheme="minorHAnsi"/>
          <w:color w:val="auto"/>
          <w:sz w:val="18"/>
          <w:szCs w:val="18"/>
        </w:rPr>
        <w:t xml:space="preserve"> </w:t>
      </w:r>
      <w:r w:rsidR="00C947CD" w:rsidRPr="004C4F16">
        <w:rPr>
          <w:rFonts w:asciiTheme="minorHAnsi" w:eastAsiaTheme="minorEastAsia" w:hAnsiTheme="minorHAnsi" w:cstheme="minorHAnsi"/>
          <w:color w:val="auto"/>
          <w:sz w:val="18"/>
          <w:szCs w:val="18"/>
        </w:rPr>
        <w:t xml:space="preserve"> </w:t>
      </w:r>
    </w:p>
    <w:p w:rsidR="00D97B5E" w:rsidRPr="004C4F16" w:rsidRDefault="00D97B5E" w:rsidP="00D97B5E">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Rauschenberger, E., Adams, P. &amp; Kennedy, A. (2017). </w:t>
      </w:r>
      <w:hyperlink r:id="rId30" w:tgtFrame="_blank" w:history="1">
        <w:r w:rsidRPr="004C4F16">
          <w:rPr>
            <w:rFonts w:asciiTheme="minorHAnsi" w:eastAsiaTheme="minorEastAsia" w:hAnsiTheme="minorHAnsi" w:cstheme="minorHAnsi"/>
            <w:i/>
            <w:iCs/>
            <w:color w:val="auto"/>
            <w:sz w:val="18"/>
            <w:szCs w:val="18"/>
          </w:rPr>
          <w:t>Measuring Quality in ITE: A literature review for Scotland’s MQuITE study</w:t>
        </w:r>
        <w:r w:rsidRPr="004C4F16">
          <w:rPr>
            <w:rFonts w:asciiTheme="minorHAnsi" w:eastAsiaTheme="minorEastAsia" w:hAnsiTheme="minorHAnsi" w:cstheme="minorHAnsi"/>
            <w:color w:val="auto"/>
            <w:sz w:val="18"/>
            <w:szCs w:val="18"/>
          </w:rPr>
          <w:t>.</w:t>
        </w:r>
      </w:hyperlink>
      <w:r w:rsidRPr="004C4F16">
        <w:rPr>
          <w:rFonts w:asciiTheme="minorHAnsi" w:eastAsiaTheme="minorEastAsia" w:hAnsiTheme="minorHAnsi" w:cstheme="minorHAnsi"/>
          <w:color w:val="auto"/>
          <w:sz w:val="18"/>
          <w:szCs w:val="18"/>
        </w:rPr>
        <w:t xml:space="preserve"> Edinburgh: Scottish Council of Deans of Education. Available at: </w:t>
      </w:r>
      <w:hyperlink r:id="rId31" w:history="1">
        <w:r w:rsidRPr="004C4F16">
          <w:rPr>
            <w:rFonts w:asciiTheme="minorHAnsi" w:eastAsiaTheme="minorEastAsia" w:hAnsiTheme="minorHAnsi" w:cstheme="minorHAnsi"/>
            <w:color w:val="auto"/>
            <w:sz w:val="18"/>
            <w:szCs w:val="18"/>
          </w:rPr>
          <w:t>Measuring Quality in Initial Teacher Education (MQuITE) – Scottish Council of Deans of Education</w:t>
        </w:r>
      </w:hyperlink>
      <w:r w:rsidRPr="004C4F16">
        <w:rPr>
          <w:rFonts w:asciiTheme="minorHAnsi" w:eastAsiaTheme="minorEastAsia" w:hAnsiTheme="minorHAnsi" w:cstheme="minorHAnsi"/>
          <w:color w:val="auto"/>
          <w:sz w:val="18"/>
          <w:szCs w:val="18"/>
        </w:rPr>
        <w:t xml:space="preserve"> (Accessed 02/02/2018)</w:t>
      </w:r>
    </w:p>
    <w:p w:rsidR="00D97B5E" w:rsidRPr="004C4F16" w:rsidRDefault="00D97B5E" w:rsidP="00D97B5E">
      <w:pPr>
        <w:ind w:left="720" w:hanging="720"/>
        <w:rPr>
          <w:rFonts w:ascii="Calibri" w:eastAsiaTheme="minorEastAsia" w:hAnsi="Calibri" w:cstheme="minorHAnsi"/>
          <w:color w:val="auto"/>
          <w:sz w:val="18"/>
          <w:szCs w:val="18"/>
        </w:rPr>
      </w:pPr>
      <w:r w:rsidRPr="004C4F16">
        <w:rPr>
          <w:rFonts w:ascii="Calibri" w:hAnsi="Calibri"/>
          <w:color w:val="auto"/>
          <w:sz w:val="18"/>
          <w:szCs w:val="18"/>
        </w:rPr>
        <w:t xml:space="preserve">Rockoff, J. E. and Speroni, C. (2010) ‘Subjective and objective evaluations of teacher effectiveness’, </w:t>
      </w:r>
      <w:r w:rsidRPr="004C4F16">
        <w:rPr>
          <w:rFonts w:ascii="Calibri" w:hAnsi="Calibri"/>
          <w:i/>
          <w:color w:val="auto"/>
          <w:sz w:val="18"/>
          <w:szCs w:val="18"/>
        </w:rPr>
        <w:t>The American Economic Review</w:t>
      </w:r>
      <w:r w:rsidRPr="004C4F16">
        <w:rPr>
          <w:rFonts w:ascii="Calibri" w:hAnsi="Calibri"/>
          <w:color w:val="auto"/>
          <w:sz w:val="18"/>
          <w:szCs w:val="18"/>
        </w:rPr>
        <w:t>, 100(2), 261–266.</w:t>
      </w:r>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Sahlberg, P., Broadfoot, P., Coolahan, J., Furlong, J. &amp; Kirk, G. (2014). Aspiring to Excellence.  Final report of the international review panel on the structure of initial teacher education in Northern Ireland. Belfast: DEL</w:t>
      </w:r>
    </w:p>
    <w:p w:rsidR="00C947CD" w:rsidRPr="004C4F16" w:rsidRDefault="001E7242"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Schleich</w:t>
      </w:r>
      <w:r w:rsidR="008D59DA" w:rsidRPr="004C4F16">
        <w:rPr>
          <w:rFonts w:asciiTheme="minorHAnsi" w:eastAsiaTheme="minorEastAsia" w:hAnsiTheme="minorHAnsi" w:cstheme="minorHAnsi"/>
          <w:color w:val="auto"/>
          <w:sz w:val="18"/>
          <w:szCs w:val="18"/>
        </w:rPr>
        <w:t>er, A. (</w:t>
      </w:r>
      <w:r w:rsidRPr="004C4F16">
        <w:rPr>
          <w:rFonts w:asciiTheme="minorHAnsi" w:eastAsiaTheme="minorEastAsia" w:hAnsiTheme="minorHAnsi" w:cstheme="minorHAnsi"/>
          <w:color w:val="auto"/>
          <w:sz w:val="18"/>
          <w:szCs w:val="18"/>
        </w:rPr>
        <w:t>2012)</w:t>
      </w:r>
      <w:r w:rsidR="00C947CD" w:rsidRPr="004C4F16">
        <w:rPr>
          <w:rFonts w:asciiTheme="minorHAnsi" w:eastAsiaTheme="minorEastAsia" w:hAnsiTheme="minorHAnsi" w:cstheme="minorHAnsi"/>
          <w:color w:val="auto"/>
          <w:sz w:val="18"/>
          <w:szCs w:val="18"/>
        </w:rPr>
        <w:t xml:space="preserve"> </w:t>
      </w:r>
      <w:r w:rsidR="00C947CD" w:rsidRPr="004C4F16">
        <w:rPr>
          <w:rFonts w:asciiTheme="minorHAnsi" w:eastAsiaTheme="minorEastAsia" w:hAnsiTheme="minorHAnsi" w:cstheme="minorHAnsi"/>
          <w:i/>
          <w:color w:val="auto"/>
          <w:sz w:val="18"/>
          <w:szCs w:val="18"/>
        </w:rPr>
        <w:t xml:space="preserve">Preparing Teachers and Developing School Leaders for the 21st Century: Lessons from around the world. </w:t>
      </w:r>
      <w:r w:rsidR="00C947CD" w:rsidRPr="004C4F16">
        <w:rPr>
          <w:rFonts w:asciiTheme="minorHAnsi" w:eastAsiaTheme="minorEastAsia" w:hAnsiTheme="minorHAnsi" w:cstheme="minorHAnsi"/>
          <w:color w:val="auto"/>
          <w:sz w:val="18"/>
          <w:szCs w:val="18"/>
        </w:rPr>
        <w:t xml:space="preserve">Paris: OECD Publishing. </w:t>
      </w:r>
      <w:hyperlink r:id="rId32" w:history="1">
        <w:r w:rsidR="009254B7" w:rsidRPr="004C4F16">
          <w:rPr>
            <w:rStyle w:val="Hyperlink"/>
            <w:rFonts w:asciiTheme="minorHAnsi" w:eastAsiaTheme="minorEastAsia" w:hAnsiTheme="minorHAnsi" w:cstheme="minorHAnsi"/>
            <w:sz w:val="18"/>
            <w:szCs w:val="18"/>
          </w:rPr>
          <w:t>http://www.oecd.org/site/eduistp2012/49850576.pdf</w:t>
        </w:r>
      </w:hyperlink>
      <w:r w:rsidR="009254B7" w:rsidRPr="004C4F16">
        <w:rPr>
          <w:rFonts w:asciiTheme="minorHAnsi" w:eastAsiaTheme="minorEastAsia" w:hAnsiTheme="minorHAnsi" w:cstheme="minorHAnsi"/>
          <w:color w:val="auto"/>
          <w:sz w:val="18"/>
          <w:szCs w:val="18"/>
        </w:rPr>
        <w:t xml:space="preserve"> </w:t>
      </w:r>
      <w:r w:rsidR="00C947CD" w:rsidRPr="004C4F16">
        <w:rPr>
          <w:rFonts w:asciiTheme="minorHAnsi" w:eastAsiaTheme="minorEastAsia" w:hAnsiTheme="minorHAnsi" w:cstheme="minorHAnsi"/>
          <w:color w:val="auto"/>
          <w:sz w:val="18"/>
          <w:szCs w:val="18"/>
        </w:rPr>
        <w:t xml:space="preserve"> </w:t>
      </w:r>
    </w:p>
    <w:p w:rsidR="00D97B5E" w:rsidRPr="004C4F16" w:rsidRDefault="00D97B5E"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Sharples, J., Albers, B. &amp; Fraser, S. (2018) Putting Evidence to Work: A School’s Guide to Implementation. London: EEF. </w:t>
      </w:r>
      <w:hyperlink r:id="rId33" w:history="1">
        <w:r w:rsidRPr="004C4F16">
          <w:rPr>
            <w:rStyle w:val="Hyperlink"/>
            <w:rFonts w:asciiTheme="minorHAnsi" w:eastAsiaTheme="minorEastAsia" w:hAnsiTheme="minorHAnsi" w:cstheme="minorHAnsi"/>
            <w:sz w:val="18"/>
            <w:szCs w:val="18"/>
          </w:rPr>
          <w:t>https://educationendowmentfoundation.org.uk/public/files/Publications/Campaigns/Implementation/EEF-Implementation-Guidance-Report.pdf</w:t>
        </w:r>
      </w:hyperlink>
    </w:p>
    <w:p w:rsidR="00C947CD" w:rsidRPr="004C4F16" w:rsidRDefault="00C947CD"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Slater, G.B.  (2015) Education as recovery: neoliberalism, school reform, and the politics of crisis, </w:t>
      </w:r>
      <w:r w:rsidRPr="004C4F16">
        <w:rPr>
          <w:rFonts w:asciiTheme="minorHAnsi" w:eastAsiaTheme="minorEastAsia" w:hAnsiTheme="minorHAnsi" w:cstheme="minorHAnsi"/>
          <w:i/>
          <w:color w:val="auto"/>
          <w:sz w:val="18"/>
          <w:szCs w:val="18"/>
        </w:rPr>
        <w:t>Journal of Education Policy</w:t>
      </w:r>
      <w:r w:rsidRPr="004C4F16">
        <w:rPr>
          <w:rFonts w:asciiTheme="minorHAnsi" w:eastAsiaTheme="minorEastAsia" w:hAnsiTheme="minorHAnsi" w:cstheme="minorHAnsi"/>
          <w:color w:val="auto"/>
          <w:sz w:val="18"/>
          <w:szCs w:val="18"/>
        </w:rPr>
        <w:t>, 30:1, 1-20,</w:t>
      </w:r>
    </w:p>
    <w:p w:rsidR="00660A62" w:rsidRPr="004C4F16" w:rsidRDefault="001E7242"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Tabberer, R. (2013)</w:t>
      </w:r>
      <w:r w:rsidR="00C947CD" w:rsidRPr="004C4F16">
        <w:rPr>
          <w:rFonts w:asciiTheme="minorHAnsi" w:eastAsiaTheme="minorEastAsia" w:hAnsiTheme="minorHAnsi" w:cstheme="minorHAnsi"/>
          <w:color w:val="auto"/>
          <w:sz w:val="18"/>
          <w:szCs w:val="18"/>
        </w:rPr>
        <w:t xml:space="preserve"> A Review of Initial Teacher Training in Wales. </w:t>
      </w:r>
      <w:hyperlink r:id="rId34" w:history="1">
        <w:r w:rsidR="00C947CD" w:rsidRPr="004C4F16">
          <w:rPr>
            <w:rStyle w:val="Hyperlink"/>
            <w:rFonts w:asciiTheme="minorHAnsi" w:eastAsiaTheme="minorEastAsia" w:hAnsiTheme="minorHAnsi" w:cstheme="minorHAnsi"/>
            <w:sz w:val="18"/>
            <w:szCs w:val="18"/>
          </w:rPr>
          <w:t>http://wales.gov.uk/docs/dcells/publications/131007-review-of-initial-teacher-training-in-wales-en.pdf</w:t>
        </w:r>
      </w:hyperlink>
    </w:p>
    <w:p w:rsidR="001233D8" w:rsidRPr="004C4F16" w:rsidRDefault="001233D8" w:rsidP="001233D8">
      <w:pPr>
        <w:ind w:left="720" w:hanging="720"/>
        <w:rPr>
          <w:rFonts w:asciiTheme="minorHAnsi" w:hAnsiTheme="minorHAnsi" w:cs="MinionPro-Regular"/>
          <w:sz w:val="18"/>
          <w:szCs w:val="18"/>
          <w:lang w:val="en-GB"/>
        </w:rPr>
      </w:pPr>
      <w:r w:rsidRPr="004C4F16">
        <w:rPr>
          <w:rFonts w:asciiTheme="minorHAnsi" w:hAnsiTheme="minorHAnsi" w:cs="MinionPro-Regular"/>
          <w:sz w:val="18"/>
          <w:szCs w:val="18"/>
          <w:lang w:val="en-GB"/>
        </w:rPr>
        <w:t>Timperley, H. (2011) Realising the Power of Professional Learning. Open University Press: Berkshire, England.</w:t>
      </w:r>
    </w:p>
    <w:p w:rsidR="001233D8" w:rsidRPr="004C4F16" w:rsidRDefault="001233D8" w:rsidP="001233D8">
      <w:pPr>
        <w:ind w:left="720" w:hanging="720"/>
        <w:rPr>
          <w:rFonts w:asciiTheme="minorHAnsi" w:hAnsiTheme="minorHAnsi" w:cs="MinionPro-Regular"/>
          <w:sz w:val="18"/>
          <w:szCs w:val="18"/>
          <w:lang w:val="en-GB"/>
        </w:rPr>
      </w:pPr>
      <w:r w:rsidRPr="004C4F16">
        <w:rPr>
          <w:rFonts w:asciiTheme="minorHAnsi" w:hAnsiTheme="minorHAnsi" w:cs="MinionPro-Regular"/>
          <w:sz w:val="18"/>
          <w:szCs w:val="18"/>
          <w:lang w:val="en-GB"/>
        </w:rPr>
        <w:t>Timperley, H., Kaser, L., &amp; Halbert, J. (2014) A framework for transforming learning in schools: Innovation and the spiral of inquiry. Seminar Series Paper No. 234. Melbourne: Centre for Strategic Education.</w:t>
      </w:r>
    </w:p>
    <w:p w:rsidR="001233D8" w:rsidRPr="004C4F16" w:rsidRDefault="001233D8" w:rsidP="001233D8">
      <w:pPr>
        <w:ind w:left="720" w:hanging="720"/>
        <w:rPr>
          <w:rFonts w:asciiTheme="minorHAnsi" w:hAnsiTheme="minorHAnsi" w:cs="MinionPro-Regular"/>
          <w:sz w:val="18"/>
          <w:szCs w:val="18"/>
          <w:lang w:val="en-GB"/>
        </w:rPr>
      </w:pPr>
      <w:r w:rsidRPr="004C4F16">
        <w:rPr>
          <w:rFonts w:asciiTheme="minorHAnsi" w:hAnsiTheme="minorHAnsi" w:cs="MinionPro-Regular"/>
          <w:sz w:val="18"/>
          <w:szCs w:val="18"/>
          <w:lang w:val="en-GB"/>
        </w:rPr>
        <w:t xml:space="preserve">Timperley, H., Wilson, A., Barrar, H., &amp; Fung, I. (2007) Teacher Professional Learning and Development: Best Evidence Synthesis. Wellington, New Zealand: Ministry of Education. </w:t>
      </w:r>
    </w:p>
    <w:p w:rsidR="00C61A5C" w:rsidRPr="004C4F16" w:rsidRDefault="00C61A5C" w:rsidP="001233D8">
      <w:pPr>
        <w:ind w:left="720" w:hanging="720"/>
        <w:rPr>
          <w:rFonts w:asciiTheme="minorHAnsi" w:hAnsiTheme="minorHAnsi" w:cs="MinionPro-Regular"/>
          <w:color w:val="auto"/>
          <w:sz w:val="18"/>
          <w:szCs w:val="18"/>
          <w:lang w:val="en-GB"/>
        </w:rPr>
      </w:pPr>
      <w:r w:rsidRPr="004C4F16">
        <w:rPr>
          <w:rFonts w:asciiTheme="minorHAnsi" w:hAnsiTheme="minorHAnsi" w:cs="MinionPro-Regular"/>
          <w:color w:val="auto"/>
          <w:sz w:val="18"/>
          <w:szCs w:val="18"/>
          <w:lang w:val="en-GB"/>
        </w:rPr>
        <w:t>US Department of Education (2011) Our Future, Our Teachers: The Obama administration’s plan for teacher education reform and improvement. Washington, DC.</w:t>
      </w:r>
    </w:p>
    <w:p w:rsidR="00D97B5E" w:rsidRPr="004C4F16" w:rsidRDefault="00D97B5E" w:rsidP="00D97B5E">
      <w:pPr>
        <w:ind w:left="720" w:hanging="720"/>
        <w:rPr>
          <w:rFonts w:asciiTheme="minorHAnsi" w:hAnsiTheme="minorHAnsi" w:cs="MinionPro-Regular"/>
          <w:color w:val="auto"/>
          <w:sz w:val="18"/>
          <w:szCs w:val="18"/>
          <w:lang w:val="en-GB"/>
        </w:rPr>
      </w:pPr>
      <w:r w:rsidRPr="004C4F16">
        <w:rPr>
          <w:rFonts w:asciiTheme="minorHAnsi" w:hAnsiTheme="minorHAnsi" w:cs="MinionPro-Regular"/>
          <w:color w:val="auto"/>
          <w:sz w:val="18"/>
          <w:szCs w:val="18"/>
          <w:lang w:val="en-GB"/>
        </w:rPr>
        <w:t xml:space="preserve">Walsh, E. and Isenberg, E. (2015) How Does Value Added Compare to Student Growth Percentiles?’ </w:t>
      </w:r>
      <w:r w:rsidRPr="004C4F16">
        <w:rPr>
          <w:rFonts w:asciiTheme="minorHAnsi" w:hAnsiTheme="minorHAnsi" w:cs="MinionPro-Regular"/>
          <w:i/>
          <w:color w:val="auto"/>
          <w:sz w:val="18"/>
          <w:szCs w:val="18"/>
          <w:lang w:val="en-GB"/>
        </w:rPr>
        <w:t>Statistics and Public Policy</w:t>
      </w:r>
      <w:r w:rsidRPr="004C4F16">
        <w:rPr>
          <w:rFonts w:asciiTheme="minorHAnsi" w:hAnsiTheme="minorHAnsi" w:cs="MinionPro-Regular"/>
          <w:color w:val="auto"/>
          <w:sz w:val="18"/>
          <w:szCs w:val="18"/>
          <w:lang w:val="en-GB"/>
        </w:rPr>
        <w:t xml:space="preserve">, 2(1), 1–13. </w:t>
      </w:r>
    </w:p>
    <w:p w:rsidR="00161D74" w:rsidRPr="004C4F16" w:rsidRDefault="00161D74"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Wang, A., Coleman, A., Coley, E., &amp; Phelps, R. (2003). Preparing teachers around the world (Policy Information Report). Princeton, NJ: Educational Testing Service</w:t>
      </w:r>
    </w:p>
    <w:p w:rsidR="00F539C8" w:rsidRPr="004C4F16" w:rsidRDefault="00F539C8" w:rsidP="00C947CD">
      <w:pPr>
        <w:ind w:left="720" w:hanging="720"/>
        <w:rPr>
          <w:rFonts w:asciiTheme="minorHAnsi" w:eastAsiaTheme="minorEastAsia" w:hAnsiTheme="minorHAnsi" w:cstheme="minorHAnsi"/>
          <w:color w:val="auto"/>
          <w:sz w:val="18"/>
          <w:szCs w:val="18"/>
        </w:rPr>
      </w:pPr>
      <w:r w:rsidRPr="004C4F16">
        <w:rPr>
          <w:rFonts w:asciiTheme="minorHAnsi" w:eastAsiaTheme="minorEastAsia" w:hAnsiTheme="minorHAnsi" w:cstheme="minorHAnsi"/>
          <w:color w:val="auto"/>
          <w:sz w:val="18"/>
          <w:szCs w:val="18"/>
        </w:rPr>
        <w:t xml:space="preserve">Whitty, G. (2013) Educational research and teacher education in higher education institutions in England, In Florian, L.&amp; Nataša Pantić (eds) </w:t>
      </w:r>
      <w:r w:rsidRPr="004C4F16">
        <w:rPr>
          <w:rFonts w:asciiTheme="minorHAnsi" w:eastAsiaTheme="minorEastAsia" w:hAnsiTheme="minorHAnsi" w:cstheme="minorHAnsi"/>
          <w:i/>
          <w:color w:val="auto"/>
          <w:sz w:val="18"/>
          <w:szCs w:val="18"/>
        </w:rPr>
        <w:t>Learning to Teach</w:t>
      </w:r>
      <w:r w:rsidRPr="004C4F16">
        <w:rPr>
          <w:rFonts w:asciiTheme="minorHAnsi" w:eastAsiaTheme="minorEastAsia" w:hAnsiTheme="minorHAnsi" w:cstheme="minorHAnsi"/>
          <w:color w:val="auto"/>
          <w:sz w:val="18"/>
          <w:szCs w:val="18"/>
        </w:rPr>
        <w:t>, York: Higher Education Academy, pp.20-23.</w:t>
      </w:r>
    </w:p>
    <w:p w:rsidR="00CD0BD1" w:rsidRPr="004C4F16" w:rsidRDefault="00CD0BD1" w:rsidP="00CD0BD1">
      <w:pPr>
        <w:pStyle w:val="NoSpacing"/>
        <w:rPr>
          <w:rFonts w:cstheme="minorHAnsi"/>
          <w:sz w:val="18"/>
          <w:szCs w:val="18"/>
        </w:rPr>
      </w:pPr>
      <w:r w:rsidRPr="004C4F16">
        <w:rPr>
          <w:rFonts w:cstheme="minorHAnsi"/>
          <w:sz w:val="18"/>
          <w:szCs w:val="18"/>
        </w:rPr>
        <w:t>Wright, A (2012) Fantasies of empowerment: mapping neoliberal discourse in the coalition government’s schools policy, Journal of Educat</w:t>
      </w:r>
      <w:r w:rsidR="00594D94" w:rsidRPr="004C4F16">
        <w:rPr>
          <w:rFonts w:cstheme="minorHAnsi"/>
          <w:sz w:val="18"/>
          <w:szCs w:val="18"/>
        </w:rPr>
        <w:t>ion Policy, 27(3) 279-294.</w:t>
      </w:r>
    </w:p>
    <w:p w:rsidR="00D97B5E" w:rsidRPr="004C4F16" w:rsidRDefault="00D97B5E" w:rsidP="00D97B5E">
      <w:pPr>
        <w:pStyle w:val="NoSpacing"/>
        <w:ind w:left="709" w:hanging="709"/>
        <w:rPr>
          <w:rFonts w:cstheme="minorHAnsi"/>
          <w:sz w:val="18"/>
          <w:szCs w:val="18"/>
        </w:rPr>
      </w:pPr>
      <w:r w:rsidRPr="004C4F16">
        <w:rPr>
          <w:rFonts w:cstheme="minorHAnsi"/>
          <w:sz w:val="18"/>
          <w:szCs w:val="18"/>
        </w:rPr>
        <w:t xml:space="preserve">Young, J., Hall, C. and Clarke, T. (2007) ‘Challenges to university autonomy in initial teacher education programmes: The cases of England, Manitoba and British Columbia’, </w:t>
      </w:r>
      <w:r w:rsidRPr="004C4F16">
        <w:rPr>
          <w:rFonts w:cstheme="minorHAnsi"/>
          <w:i/>
          <w:sz w:val="18"/>
          <w:szCs w:val="18"/>
        </w:rPr>
        <w:t>Teaching and Teacher Education</w:t>
      </w:r>
      <w:r w:rsidRPr="004C4F16">
        <w:rPr>
          <w:rFonts w:cstheme="minorHAnsi"/>
          <w:sz w:val="18"/>
          <w:szCs w:val="18"/>
        </w:rPr>
        <w:t xml:space="preserve">, 23(1), 81–93. </w:t>
      </w:r>
    </w:p>
    <w:p w:rsidR="00156D05" w:rsidRDefault="00156D05" w:rsidP="00C947CD">
      <w:pPr>
        <w:rPr>
          <w:rFonts w:asciiTheme="minorHAnsi" w:eastAsiaTheme="minorEastAsia" w:hAnsiTheme="minorHAnsi" w:cstheme="minorHAnsi"/>
          <w:color w:val="auto"/>
          <w:sz w:val="20"/>
          <w:szCs w:val="20"/>
        </w:rPr>
      </w:pPr>
    </w:p>
    <w:sectPr w:rsidR="00156D05" w:rsidSect="00A1116F">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9F" w:rsidRDefault="0005459F" w:rsidP="00F73268">
      <w:r>
        <w:separator/>
      </w:r>
    </w:p>
  </w:endnote>
  <w:endnote w:type="continuationSeparator" w:id="0">
    <w:p w:rsidR="0005459F" w:rsidRDefault="0005459F" w:rsidP="00F7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 Book BQ Light">
    <w:altName w:val="AG Book BQ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BemboMTPro-Regular">
    <w:panose1 w:val="00000000000000000000"/>
    <w:charset w:val="00"/>
    <w:family w:val="roman"/>
    <w:notTrueType/>
    <w:pitch w:val="default"/>
    <w:sig w:usb0="00000003" w:usb1="00000000" w:usb2="00000000" w:usb3="00000000" w:csb0="00000001" w:csb1="00000000"/>
  </w:font>
  <w:font w:name="TTE1112E18t00">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Pro-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aramond-Regular">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KJJO A+ Gulliver">
    <w:altName w:val="Gullive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EKJLE L+ Gulliver">
    <w:altName w:val="Gulliv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936728"/>
      <w:docPartObj>
        <w:docPartGallery w:val="Page Numbers (Bottom of Page)"/>
        <w:docPartUnique/>
      </w:docPartObj>
    </w:sdtPr>
    <w:sdtEndPr>
      <w:rPr>
        <w:noProof/>
      </w:rPr>
    </w:sdtEndPr>
    <w:sdtContent>
      <w:p w:rsidR="0005459F" w:rsidRDefault="0005459F">
        <w:pPr>
          <w:pStyle w:val="Footer"/>
          <w:jc w:val="right"/>
        </w:pPr>
        <w:r>
          <w:fldChar w:fldCharType="begin"/>
        </w:r>
        <w:r>
          <w:instrText xml:space="preserve"> PAGE   \* MERGEFORMAT </w:instrText>
        </w:r>
        <w:r>
          <w:fldChar w:fldCharType="separate"/>
        </w:r>
        <w:r w:rsidR="00170245">
          <w:rPr>
            <w:noProof/>
          </w:rPr>
          <w:t>1</w:t>
        </w:r>
        <w:r>
          <w:rPr>
            <w:noProof/>
          </w:rPr>
          <w:fldChar w:fldCharType="end"/>
        </w:r>
      </w:p>
    </w:sdtContent>
  </w:sdt>
  <w:p w:rsidR="0005459F" w:rsidRDefault="00054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9F" w:rsidRDefault="0005459F" w:rsidP="00F73268">
      <w:r>
        <w:separator/>
      </w:r>
    </w:p>
  </w:footnote>
  <w:footnote w:type="continuationSeparator" w:id="0">
    <w:p w:rsidR="0005459F" w:rsidRDefault="0005459F" w:rsidP="00F73268">
      <w:r>
        <w:continuationSeparator/>
      </w:r>
    </w:p>
  </w:footnote>
  <w:footnote w:id="1">
    <w:p w:rsidR="004409E0" w:rsidRPr="004409E0" w:rsidRDefault="004409E0">
      <w:pPr>
        <w:pStyle w:val="FootnoteText"/>
        <w:rPr>
          <w:lang w:val="en-GB"/>
        </w:rPr>
      </w:pPr>
      <w:r>
        <w:rPr>
          <w:rStyle w:val="FootnoteReference"/>
        </w:rPr>
        <w:footnoteRef/>
      </w:r>
      <w:r>
        <w:t xml:space="preserve"> </w:t>
      </w:r>
      <w:r w:rsidRPr="005F266F">
        <w:rPr>
          <w:rFonts w:ascii="Calibri" w:hAnsi="Calibri" w:cs="BemboMTPro-Regular"/>
        </w:rPr>
        <w:t>V</w:t>
      </w:r>
      <w:r w:rsidRPr="005F266F">
        <w:rPr>
          <w:rFonts w:ascii="Calibri" w:hAnsi="Calibri" w:cs="BemboMTPro-Regular"/>
          <w:lang w:val="en-GB"/>
        </w:rPr>
        <w:t xml:space="preserve">alue-added measures </w:t>
      </w:r>
      <w:r w:rsidRPr="005F266F">
        <w:rPr>
          <w:rFonts w:ascii="Calibri" w:hAnsi="Calibri" w:cs="BemboMTPro-Regular"/>
        </w:rPr>
        <w:t xml:space="preserve">work by </w:t>
      </w:r>
      <w:r w:rsidRPr="005F266F">
        <w:rPr>
          <w:rFonts w:ascii="Calibri" w:hAnsi="Calibri"/>
        </w:rPr>
        <w:t xml:space="preserve">linking teachers to their students’ standardised </w:t>
      </w:r>
      <w:r w:rsidR="005F266F">
        <w:rPr>
          <w:rFonts w:ascii="Calibri" w:hAnsi="Calibri"/>
        </w:rPr>
        <w:t>tests scores and then measuring</w:t>
      </w:r>
      <w:r w:rsidRPr="005F266F">
        <w:rPr>
          <w:rFonts w:ascii="Calibri" w:hAnsi="Calibri"/>
        </w:rPr>
        <w:t xml:space="preserve"> teaching effectiveness through a statistical regression model.  </w:t>
      </w:r>
      <w:r w:rsidR="005F266F" w:rsidRPr="005F266F">
        <w:rPr>
          <w:rFonts w:ascii="Calibri" w:hAnsi="Calibri"/>
        </w:rPr>
        <w:t xml:space="preserve">VAM attempts to control for </w:t>
      </w:r>
      <w:r w:rsidR="005F266F">
        <w:rPr>
          <w:rFonts w:ascii="Calibri" w:hAnsi="Calibri"/>
        </w:rPr>
        <w:t xml:space="preserve">student </w:t>
      </w:r>
      <w:r w:rsidR="005F266F" w:rsidRPr="005F266F">
        <w:rPr>
          <w:rFonts w:ascii="Calibri" w:hAnsi="Calibri"/>
        </w:rPr>
        <w:t>characteristics that are beyond the control of teachers or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6A23"/>
    <w:multiLevelType w:val="hybridMultilevel"/>
    <w:tmpl w:val="1ED89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944EF9C4"/>
    <w:lvl w:ilvl="0">
      <w:start w:val="1"/>
      <w:numFmt w:val="decimal"/>
      <w:pStyle w:val="Heading1"/>
      <w:lvlText w:val="%1"/>
      <w:lvlJc w:val="left"/>
      <w:pPr>
        <w:ind w:left="432" w:hanging="432"/>
      </w:pPr>
      <w:rPr>
        <w:rFonts w:asciiTheme="majorHAnsi" w:hAnsiTheme="majorHAnsi" w:hint="default"/>
        <w:sz w:val="28"/>
        <w:szCs w:val="28"/>
      </w:rPr>
    </w:lvl>
    <w:lvl w:ilvl="1">
      <w:start w:val="1"/>
      <w:numFmt w:val="decimal"/>
      <w:pStyle w:val="Heading2"/>
      <w:lvlText w:val="%1.%2"/>
      <w:lvlJc w:val="left"/>
      <w:pPr>
        <w:ind w:left="67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B62306D"/>
    <w:multiLevelType w:val="hybridMultilevel"/>
    <w:tmpl w:val="FC004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71280"/>
    <w:multiLevelType w:val="hybridMultilevel"/>
    <w:tmpl w:val="893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C4D13"/>
    <w:multiLevelType w:val="hybridMultilevel"/>
    <w:tmpl w:val="336A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D4114"/>
    <w:multiLevelType w:val="hybridMultilevel"/>
    <w:tmpl w:val="51A6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735EA"/>
    <w:multiLevelType w:val="hybridMultilevel"/>
    <w:tmpl w:val="388A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E"/>
    <w:rsid w:val="00000C89"/>
    <w:rsid w:val="0000670B"/>
    <w:rsid w:val="000337B1"/>
    <w:rsid w:val="00036189"/>
    <w:rsid w:val="00053D44"/>
    <w:rsid w:val="0005459F"/>
    <w:rsid w:val="000661AB"/>
    <w:rsid w:val="00067B61"/>
    <w:rsid w:val="00081EB7"/>
    <w:rsid w:val="00083405"/>
    <w:rsid w:val="00084D25"/>
    <w:rsid w:val="000936FF"/>
    <w:rsid w:val="00094796"/>
    <w:rsid w:val="00095530"/>
    <w:rsid w:val="00096353"/>
    <w:rsid w:val="000A1054"/>
    <w:rsid w:val="000A7684"/>
    <w:rsid w:val="000C7686"/>
    <w:rsid w:val="000D4C70"/>
    <w:rsid w:val="000D6150"/>
    <w:rsid w:val="000D621A"/>
    <w:rsid w:val="000E1424"/>
    <w:rsid w:val="000E1444"/>
    <w:rsid w:val="000F1419"/>
    <w:rsid w:val="000F1771"/>
    <w:rsid w:val="000F275F"/>
    <w:rsid w:val="000F4996"/>
    <w:rsid w:val="00102982"/>
    <w:rsid w:val="0011040B"/>
    <w:rsid w:val="0012122F"/>
    <w:rsid w:val="001217A6"/>
    <w:rsid w:val="001233D8"/>
    <w:rsid w:val="001248F2"/>
    <w:rsid w:val="0012497E"/>
    <w:rsid w:val="00130B9A"/>
    <w:rsid w:val="00136B76"/>
    <w:rsid w:val="00156D05"/>
    <w:rsid w:val="00161D74"/>
    <w:rsid w:val="00170245"/>
    <w:rsid w:val="001741BC"/>
    <w:rsid w:val="00174ADC"/>
    <w:rsid w:val="00174F88"/>
    <w:rsid w:val="00175772"/>
    <w:rsid w:val="00177355"/>
    <w:rsid w:val="001774E6"/>
    <w:rsid w:val="001859DE"/>
    <w:rsid w:val="0019019C"/>
    <w:rsid w:val="0019317A"/>
    <w:rsid w:val="00193841"/>
    <w:rsid w:val="00195752"/>
    <w:rsid w:val="001A26A4"/>
    <w:rsid w:val="001C26B6"/>
    <w:rsid w:val="001C3673"/>
    <w:rsid w:val="001C512F"/>
    <w:rsid w:val="001D0AFB"/>
    <w:rsid w:val="001D33A5"/>
    <w:rsid w:val="001D6773"/>
    <w:rsid w:val="001E3D0C"/>
    <w:rsid w:val="001E5EC2"/>
    <w:rsid w:val="001E6266"/>
    <w:rsid w:val="001E7242"/>
    <w:rsid w:val="001E7B92"/>
    <w:rsid w:val="00201AF4"/>
    <w:rsid w:val="00206056"/>
    <w:rsid w:val="00212F21"/>
    <w:rsid w:val="0021706F"/>
    <w:rsid w:val="00222533"/>
    <w:rsid w:val="00224E21"/>
    <w:rsid w:val="002300D0"/>
    <w:rsid w:val="00231D23"/>
    <w:rsid w:val="00236702"/>
    <w:rsid w:val="00241C28"/>
    <w:rsid w:val="00254274"/>
    <w:rsid w:val="00267A1B"/>
    <w:rsid w:val="00273F85"/>
    <w:rsid w:val="00280BA7"/>
    <w:rsid w:val="00286FDC"/>
    <w:rsid w:val="00293842"/>
    <w:rsid w:val="002B19F0"/>
    <w:rsid w:val="002C5739"/>
    <w:rsid w:val="002C5BDA"/>
    <w:rsid w:val="002C7AC8"/>
    <w:rsid w:val="002D2563"/>
    <w:rsid w:val="002E5113"/>
    <w:rsid w:val="00310F0F"/>
    <w:rsid w:val="00314500"/>
    <w:rsid w:val="003155D0"/>
    <w:rsid w:val="00316D08"/>
    <w:rsid w:val="00317058"/>
    <w:rsid w:val="0033059F"/>
    <w:rsid w:val="0033542A"/>
    <w:rsid w:val="00343546"/>
    <w:rsid w:val="00361EFE"/>
    <w:rsid w:val="00365220"/>
    <w:rsid w:val="0036736D"/>
    <w:rsid w:val="0036780F"/>
    <w:rsid w:val="00374E45"/>
    <w:rsid w:val="0037559E"/>
    <w:rsid w:val="00375A40"/>
    <w:rsid w:val="00383248"/>
    <w:rsid w:val="003A30B1"/>
    <w:rsid w:val="003B08C9"/>
    <w:rsid w:val="003B4BD6"/>
    <w:rsid w:val="003C185F"/>
    <w:rsid w:val="003C567C"/>
    <w:rsid w:val="003C6472"/>
    <w:rsid w:val="003C72FD"/>
    <w:rsid w:val="003E252F"/>
    <w:rsid w:val="003F4F80"/>
    <w:rsid w:val="00400B9A"/>
    <w:rsid w:val="00410FF5"/>
    <w:rsid w:val="00413829"/>
    <w:rsid w:val="00423E20"/>
    <w:rsid w:val="004409E0"/>
    <w:rsid w:val="00450467"/>
    <w:rsid w:val="00453EFA"/>
    <w:rsid w:val="00475839"/>
    <w:rsid w:val="004808D9"/>
    <w:rsid w:val="004860B1"/>
    <w:rsid w:val="004C4F16"/>
    <w:rsid w:val="004D1370"/>
    <w:rsid w:val="004F03E0"/>
    <w:rsid w:val="004F0709"/>
    <w:rsid w:val="004F094F"/>
    <w:rsid w:val="00503819"/>
    <w:rsid w:val="005058E0"/>
    <w:rsid w:val="00511D36"/>
    <w:rsid w:val="00522EE5"/>
    <w:rsid w:val="005330FF"/>
    <w:rsid w:val="005343A4"/>
    <w:rsid w:val="00537B80"/>
    <w:rsid w:val="00547AE3"/>
    <w:rsid w:val="0055124A"/>
    <w:rsid w:val="0056210D"/>
    <w:rsid w:val="00564509"/>
    <w:rsid w:val="00564659"/>
    <w:rsid w:val="005662A9"/>
    <w:rsid w:val="005671F3"/>
    <w:rsid w:val="005716B2"/>
    <w:rsid w:val="00576AE4"/>
    <w:rsid w:val="00577F97"/>
    <w:rsid w:val="0058695C"/>
    <w:rsid w:val="00592D5D"/>
    <w:rsid w:val="00594D94"/>
    <w:rsid w:val="005A04CC"/>
    <w:rsid w:val="005A25A5"/>
    <w:rsid w:val="005A3FF8"/>
    <w:rsid w:val="005A48E6"/>
    <w:rsid w:val="005C24A1"/>
    <w:rsid w:val="005D1C2E"/>
    <w:rsid w:val="005D492B"/>
    <w:rsid w:val="005D5C05"/>
    <w:rsid w:val="005E0860"/>
    <w:rsid w:val="005F2306"/>
    <w:rsid w:val="005F258D"/>
    <w:rsid w:val="005F266F"/>
    <w:rsid w:val="005F2696"/>
    <w:rsid w:val="005F3D8E"/>
    <w:rsid w:val="005F414A"/>
    <w:rsid w:val="005F7678"/>
    <w:rsid w:val="00613C49"/>
    <w:rsid w:val="00622472"/>
    <w:rsid w:val="00622F98"/>
    <w:rsid w:val="0063239C"/>
    <w:rsid w:val="00636392"/>
    <w:rsid w:val="00645764"/>
    <w:rsid w:val="00647DAB"/>
    <w:rsid w:val="00653387"/>
    <w:rsid w:val="00660A62"/>
    <w:rsid w:val="00667ED1"/>
    <w:rsid w:val="006738FA"/>
    <w:rsid w:val="006769A8"/>
    <w:rsid w:val="00685929"/>
    <w:rsid w:val="0069665C"/>
    <w:rsid w:val="006B15BD"/>
    <w:rsid w:val="006B5028"/>
    <w:rsid w:val="006B7461"/>
    <w:rsid w:val="006C29D0"/>
    <w:rsid w:val="006D6326"/>
    <w:rsid w:val="006E0171"/>
    <w:rsid w:val="006F017D"/>
    <w:rsid w:val="006F0C8F"/>
    <w:rsid w:val="00703B45"/>
    <w:rsid w:val="007042AB"/>
    <w:rsid w:val="00705AF3"/>
    <w:rsid w:val="00715424"/>
    <w:rsid w:val="00725905"/>
    <w:rsid w:val="00725D41"/>
    <w:rsid w:val="0072770F"/>
    <w:rsid w:val="0073291C"/>
    <w:rsid w:val="0074752B"/>
    <w:rsid w:val="00747BCB"/>
    <w:rsid w:val="00750388"/>
    <w:rsid w:val="007504D3"/>
    <w:rsid w:val="00753879"/>
    <w:rsid w:val="0076018E"/>
    <w:rsid w:val="00770DA9"/>
    <w:rsid w:val="00772CD7"/>
    <w:rsid w:val="0077594B"/>
    <w:rsid w:val="0077648C"/>
    <w:rsid w:val="007827BE"/>
    <w:rsid w:val="00784330"/>
    <w:rsid w:val="007A04BC"/>
    <w:rsid w:val="007B4E6B"/>
    <w:rsid w:val="007C0605"/>
    <w:rsid w:val="007E5C69"/>
    <w:rsid w:val="007E5CFE"/>
    <w:rsid w:val="007F086F"/>
    <w:rsid w:val="007F43E5"/>
    <w:rsid w:val="007F4C02"/>
    <w:rsid w:val="008066A4"/>
    <w:rsid w:val="00806BBA"/>
    <w:rsid w:val="00807BF9"/>
    <w:rsid w:val="00810A06"/>
    <w:rsid w:val="00824178"/>
    <w:rsid w:val="00830793"/>
    <w:rsid w:val="00832B31"/>
    <w:rsid w:val="00836522"/>
    <w:rsid w:val="00843719"/>
    <w:rsid w:val="00847273"/>
    <w:rsid w:val="00857A65"/>
    <w:rsid w:val="00864FFE"/>
    <w:rsid w:val="00880C5D"/>
    <w:rsid w:val="008844ED"/>
    <w:rsid w:val="00884F88"/>
    <w:rsid w:val="008A29F6"/>
    <w:rsid w:val="008D080B"/>
    <w:rsid w:val="008D1C27"/>
    <w:rsid w:val="008D59DA"/>
    <w:rsid w:val="008E22CF"/>
    <w:rsid w:val="009031F7"/>
    <w:rsid w:val="0090639E"/>
    <w:rsid w:val="009064F5"/>
    <w:rsid w:val="0091640F"/>
    <w:rsid w:val="009254B7"/>
    <w:rsid w:val="00927353"/>
    <w:rsid w:val="00933E1F"/>
    <w:rsid w:val="009447CE"/>
    <w:rsid w:val="00970B4B"/>
    <w:rsid w:val="0099087D"/>
    <w:rsid w:val="009A4EEB"/>
    <w:rsid w:val="009C48C2"/>
    <w:rsid w:val="009C6028"/>
    <w:rsid w:val="009C6433"/>
    <w:rsid w:val="009E2B48"/>
    <w:rsid w:val="009E3161"/>
    <w:rsid w:val="009E6E08"/>
    <w:rsid w:val="009E7FD2"/>
    <w:rsid w:val="00A003FE"/>
    <w:rsid w:val="00A1116F"/>
    <w:rsid w:val="00A11F62"/>
    <w:rsid w:val="00A16360"/>
    <w:rsid w:val="00A2782D"/>
    <w:rsid w:val="00A33D83"/>
    <w:rsid w:val="00A34282"/>
    <w:rsid w:val="00A359AA"/>
    <w:rsid w:val="00A42C0D"/>
    <w:rsid w:val="00A42DAF"/>
    <w:rsid w:val="00A44BDF"/>
    <w:rsid w:val="00A629FB"/>
    <w:rsid w:val="00A64F89"/>
    <w:rsid w:val="00A740A6"/>
    <w:rsid w:val="00A76BCC"/>
    <w:rsid w:val="00A809B1"/>
    <w:rsid w:val="00A817E9"/>
    <w:rsid w:val="00A85C4B"/>
    <w:rsid w:val="00AA0F28"/>
    <w:rsid w:val="00AB251A"/>
    <w:rsid w:val="00AC2A65"/>
    <w:rsid w:val="00AC6726"/>
    <w:rsid w:val="00AD331D"/>
    <w:rsid w:val="00AE63F1"/>
    <w:rsid w:val="00AE7688"/>
    <w:rsid w:val="00AF4A8A"/>
    <w:rsid w:val="00AF63D0"/>
    <w:rsid w:val="00AF6707"/>
    <w:rsid w:val="00AF6B3D"/>
    <w:rsid w:val="00B00A74"/>
    <w:rsid w:val="00B026F5"/>
    <w:rsid w:val="00B07750"/>
    <w:rsid w:val="00B118C7"/>
    <w:rsid w:val="00B20C5E"/>
    <w:rsid w:val="00B25292"/>
    <w:rsid w:val="00B65C3E"/>
    <w:rsid w:val="00B662AD"/>
    <w:rsid w:val="00B75E55"/>
    <w:rsid w:val="00B93508"/>
    <w:rsid w:val="00BA0CCF"/>
    <w:rsid w:val="00BB0921"/>
    <w:rsid w:val="00BC596F"/>
    <w:rsid w:val="00BC7ECB"/>
    <w:rsid w:val="00BD122D"/>
    <w:rsid w:val="00BE57A8"/>
    <w:rsid w:val="00BF1FEE"/>
    <w:rsid w:val="00BF2604"/>
    <w:rsid w:val="00BF5B53"/>
    <w:rsid w:val="00C012FC"/>
    <w:rsid w:val="00C07A73"/>
    <w:rsid w:val="00C26C58"/>
    <w:rsid w:val="00C57814"/>
    <w:rsid w:val="00C61A5C"/>
    <w:rsid w:val="00C66C63"/>
    <w:rsid w:val="00C76653"/>
    <w:rsid w:val="00C81B52"/>
    <w:rsid w:val="00C91414"/>
    <w:rsid w:val="00C92A02"/>
    <w:rsid w:val="00C947CD"/>
    <w:rsid w:val="00C974B0"/>
    <w:rsid w:val="00C976FD"/>
    <w:rsid w:val="00CB2B0E"/>
    <w:rsid w:val="00CB7EDB"/>
    <w:rsid w:val="00CC2CF5"/>
    <w:rsid w:val="00CC3D83"/>
    <w:rsid w:val="00CC43A7"/>
    <w:rsid w:val="00CC77DC"/>
    <w:rsid w:val="00CD0BD1"/>
    <w:rsid w:val="00CE05CC"/>
    <w:rsid w:val="00CE1191"/>
    <w:rsid w:val="00CE527B"/>
    <w:rsid w:val="00CF3217"/>
    <w:rsid w:val="00D1140E"/>
    <w:rsid w:val="00D11AB0"/>
    <w:rsid w:val="00D148B5"/>
    <w:rsid w:val="00D22391"/>
    <w:rsid w:val="00D2281A"/>
    <w:rsid w:val="00D3328C"/>
    <w:rsid w:val="00D3560C"/>
    <w:rsid w:val="00D37965"/>
    <w:rsid w:val="00D54220"/>
    <w:rsid w:val="00D62681"/>
    <w:rsid w:val="00D63A1B"/>
    <w:rsid w:val="00D66749"/>
    <w:rsid w:val="00D6763D"/>
    <w:rsid w:val="00D93393"/>
    <w:rsid w:val="00D94D5D"/>
    <w:rsid w:val="00D96387"/>
    <w:rsid w:val="00D97B5E"/>
    <w:rsid w:val="00DA5CF6"/>
    <w:rsid w:val="00DB1CE9"/>
    <w:rsid w:val="00DB3F0B"/>
    <w:rsid w:val="00DB723C"/>
    <w:rsid w:val="00DC33AC"/>
    <w:rsid w:val="00DC504A"/>
    <w:rsid w:val="00DC6D35"/>
    <w:rsid w:val="00DD283F"/>
    <w:rsid w:val="00DE322E"/>
    <w:rsid w:val="00DE6F27"/>
    <w:rsid w:val="00DE7648"/>
    <w:rsid w:val="00DF780B"/>
    <w:rsid w:val="00E05198"/>
    <w:rsid w:val="00E06ACF"/>
    <w:rsid w:val="00E44AC5"/>
    <w:rsid w:val="00E538B5"/>
    <w:rsid w:val="00E5669A"/>
    <w:rsid w:val="00E616D2"/>
    <w:rsid w:val="00E61DD9"/>
    <w:rsid w:val="00E65546"/>
    <w:rsid w:val="00E70BE2"/>
    <w:rsid w:val="00E77D4A"/>
    <w:rsid w:val="00E83D70"/>
    <w:rsid w:val="00E853BD"/>
    <w:rsid w:val="00E87C6F"/>
    <w:rsid w:val="00EA04CD"/>
    <w:rsid w:val="00EA74D9"/>
    <w:rsid w:val="00EB15B2"/>
    <w:rsid w:val="00EB3D49"/>
    <w:rsid w:val="00EB3F81"/>
    <w:rsid w:val="00EB6190"/>
    <w:rsid w:val="00ED4B9E"/>
    <w:rsid w:val="00EE4F76"/>
    <w:rsid w:val="00EE53E3"/>
    <w:rsid w:val="00EE5712"/>
    <w:rsid w:val="00F0344E"/>
    <w:rsid w:val="00F063D9"/>
    <w:rsid w:val="00F21304"/>
    <w:rsid w:val="00F24256"/>
    <w:rsid w:val="00F24352"/>
    <w:rsid w:val="00F24FBF"/>
    <w:rsid w:val="00F24FDB"/>
    <w:rsid w:val="00F30709"/>
    <w:rsid w:val="00F31635"/>
    <w:rsid w:val="00F33782"/>
    <w:rsid w:val="00F35547"/>
    <w:rsid w:val="00F40C98"/>
    <w:rsid w:val="00F50194"/>
    <w:rsid w:val="00F50F31"/>
    <w:rsid w:val="00F539C8"/>
    <w:rsid w:val="00F61702"/>
    <w:rsid w:val="00F62AD4"/>
    <w:rsid w:val="00F73268"/>
    <w:rsid w:val="00F76765"/>
    <w:rsid w:val="00F823B7"/>
    <w:rsid w:val="00F83E63"/>
    <w:rsid w:val="00F85279"/>
    <w:rsid w:val="00F92A8E"/>
    <w:rsid w:val="00F957D5"/>
    <w:rsid w:val="00FC1158"/>
    <w:rsid w:val="00FD7E6E"/>
    <w:rsid w:val="00FE209C"/>
    <w:rsid w:val="00FE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77C1A-8633-4A05-B3F4-7670643B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6F"/>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90639E"/>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0639E"/>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639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rPr>
  </w:style>
  <w:style w:type="paragraph" w:styleId="Heading4">
    <w:name w:val="heading 4"/>
    <w:basedOn w:val="Normal"/>
    <w:next w:val="Normal"/>
    <w:link w:val="Heading4Char"/>
    <w:uiPriority w:val="9"/>
    <w:semiHidden/>
    <w:unhideWhenUsed/>
    <w:qFormat/>
    <w:rsid w:val="0090639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rPr>
  </w:style>
  <w:style w:type="paragraph" w:styleId="Heading5">
    <w:name w:val="heading 5"/>
    <w:basedOn w:val="Normal"/>
    <w:next w:val="Normal"/>
    <w:link w:val="Heading5Char"/>
    <w:uiPriority w:val="9"/>
    <w:semiHidden/>
    <w:unhideWhenUsed/>
    <w:qFormat/>
    <w:rsid w:val="0090639E"/>
    <w:pPr>
      <w:keepNext/>
      <w:keepLines/>
      <w:numPr>
        <w:ilvl w:val="4"/>
        <w:numId w:val="1"/>
      </w:numPr>
      <w:spacing w:before="200" w:line="259" w:lineRule="auto"/>
      <w:outlineLvl w:val="4"/>
    </w:pPr>
    <w:rPr>
      <w:rFonts w:asciiTheme="majorHAnsi" w:eastAsiaTheme="majorEastAsia" w:hAnsiTheme="majorHAnsi" w:cstheme="majorBidi"/>
      <w:color w:val="000000" w:themeColor="text2" w:themeShade="BF"/>
      <w:sz w:val="22"/>
      <w:szCs w:val="22"/>
    </w:rPr>
  </w:style>
  <w:style w:type="paragraph" w:styleId="Heading6">
    <w:name w:val="heading 6"/>
    <w:basedOn w:val="Normal"/>
    <w:next w:val="Normal"/>
    <w:link w:val="Heading6Char"/>
    <w:uiPriority w:val="9"/>
    <w:semiHidden/>
    <w:unhideWhenUsed/>
    <w:qFormat/>
    <w:rsid w:val="0090639E"/>
    <w:pPr>
      <w:keepNext/>
      <w:keepLines/>
      <w:numPr>
        <w:ilvl w:val="5"/>
        <w:numId w:val="1"/>
      </w:numPr>
      <w:spacing w:before="200" w:line="259" w:lineRule="auto"/>
      <w:outlineLvl w:val="5"/>
    </w:pPr>
    <w:rPr>
      <w:rFonts w:asciiTheme="majorHAnsi" w:eastAsiaTheme="majorEastAsia" w:hAnsiTheme="majorHAnsi" w:cstheme="majorBidi"/>
      <w:i/>
      <w:iCs/>
      <w:color w:val="000000" w:themeColor="text2" w:themeShade="BF"/>
      <w:sz w:val="22"/>
      <w:szCs w:val="22"/>
    </w:rPr>
  </w:style>
  <w:style w:type="paragraph" w:styleId="Heading7">
    <w:name w:val="heading 7"/>
    <w:basedOn w:val="Normal"/>
    <w:next w:val="Normal"/>
    <w:link w:val="Heading7Char"/>
    <w:uiPriority w:val="9"/>
    <w:semiHidden/>
    <w:unhideWhenUsed/>
    <w:qFormat/>
    <w:rsid w:val="0090639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0639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639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39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0639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0639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0639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0639E"/>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90639E"/>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9063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63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63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0639E"/>
    <w:pPr>
      <w:spacing w:after="200"/>
    </w:pPr>
    <w:rPr>
      <w:rFonts w:asciiTheme="minorHAnsi" w:eastAsiaTheme="minorEastAsia" w:hAnsiTheme="minorHAnsi" w:cstheme="minorBidi"/>
      <w:i/>
      <w:iCs/>
      <w:color w:val="000000" w:themeColor="text2"/>
      <w:sz w:val="18"/>
      <w:szCs w:val="18"/>
    </w:rPr>
  </w:style>
  <w:style w:type="paragraph" w:styleId="Title">
    <w:name w:val="Title"/>
    <w:basedOn w:val="Normal"/>
    <w:next w:val="Normal"/>
    <w:link w:val="TitleChar"/>
    <w:uiPriority w:val="10"/>
    <w:qFormat/>
    <w:rsid w:val="0090639E"/>
    <w:pPr>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0639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639E"/>
    <w:pPr>
      <w:numPr>
        <w:ilvl w:val="1"/>
      </w:numPr>
      <w:spacing w:after="160" w:line="259" w:lineRule="auto"/>
    </w:pPr>
    <w:rPr>
      <w:rFonts w:asciiTheme="minorHAnsi" w:eastAsiaTheme="minorEastAsia" w:hAnsiTheme="minorHAnsi" w:cstheme="minorBidi"/>
      <w:color w:val="5A5A5A" w:themeColor="text1" w:themeTint="A5"/>
      <w:spacing w:val="10"/>
      <w:sz w:val="22"/>
      <w:szCs w:val="22"/>
    </w:rPr>
  </w:style>
  <w:style w:type="character" w:customStyle="1" w:styleId="SubtitleChar">
    <w:name w:val="Subtitle Char"/>
    <w:basedOn w:val="DefaultParagraphFont"/>
    <w:link w:val="Subtitle"/>
    <w:uiPriority w:val="11"/>
    <w:rsid w:val="0090639E"/>
    <w:rPr>
      <w:color w:val="5A5A5A" w:themeColor="text1" w:themeTint="A5"/>
      <w:spacing w:val="10"/>
    </w:rPr>
  </w:style>
  <w:style w:type="character" w:styleId="Strong">
    <w:name w:val="Strong"/>
    <w:basedOn w:val="DefaultParagraphFont"/>
    <w:uiPriority w:val="22"/>
    <w:qFormat/>
    <w:rsid w:val="0090639E"/>
    <w:rPr>
      <w:b/>
      <w:bCs/>
      <w:color w:val="000000" w:themeColor="text1"/>
    </w:rPr>
  </w:style>
  <w:style w:type="character" w:styleId="Emphasis">
    <w:name w:val="Emphasis"/>
    <w:basedOn w:val="DefaultParagraphFont"/>
    <w:uiPriority w:val="20"/>
    <w:qFormat/>
    <w:rsid w:val="0090639E"/>
    <w:rPr>
      <w:i/>
      <w:iCs/>
      <w:color w:val="auto"/>
    </w:rPr>
  </w:style>
  <w:style w:type="paragraph" w:styleId="NoSpacing">
    <w:name w:val="No Spacing"/>
    <w:uiPriority w:val="1"/>
    <w:qFormat/>
    <w:rsid w:val="0090639E"/>
    <w:pPr>
      <w:spacing w:after="0" w:line="240" w:lineRule="auto"/>
    </w:pPr>
  </w:style>
  <w:style w:type="paragraph" w:styleId="Quote">
    <w:name w:val="Quote"/>
    <w:basedOn w:val="Normal"/>
    <w:next w:val="Normal"/>
    <w:link w:val="QuoteChar"/>
    <w:uiPriority w:val="29"/>
    <w:qFormat/>
    <w:rsid w:val="0090639E"/>
    <w:pPr>
      <w:spacing w:before="160" w:after="160" w:line="259" w:lineRule="auto"/>
      <w:ind w:left="720" w:right="72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90639E"/>
    <w:rPr>
      <w:i/>
      <w:iCs/>
      <w:color w:val="000000" w:themeColor="text1"/>
    </w:rPr>
  </w:style>
  <w:style w:type="paragraph" w:styleId="IntenseQuote">
    <w:name w:val="Intense Quote"/>
    <w:basedOn w:val="Normal"/>
    <w:next w:val="Normal"/>
    <w:link w:val="IntenseQuoteChar"/>
    <w:uiPriority w:val="30"/>
    <w:qFormat/>
    <w:rsid w:val="0090639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rPr>
  </w:style>
  <w:style w:type="character" w:customStyle="1" w:styleId="IntenseQuoteChar">
    <w:name w:val="Intense Quote Char"/>
    <w:basedOn w:val="DefaultParagraphFont"/>
    <w:link w:val="IntenseQuote"/>
    <w:uiPriority w:val="30"/>
    <w:rsid w:val="0090639E"/>
    <w:rPr>
      <w:color w:val="000000" w:themeColor="text1"/>
      <w:shd w:val="clear" w:color="auto" w:fill="F2F2F2" w:themeFill="background1" w:themeFillShade="F2"/>
    </w:rPr>
  </w:style>
  <w:style w:type="character" w:styleId="SubtleEmphasis">
    <w:name w:val="Subtle Emphasis"/>
    <w:basedOn w:val="DefaultParagraphFont"/>
    <w:uiPriority w:val="19"/>
    <w:qFormat/>
    <w:rsid w:val="0090639E"/>
    <w:rPr>
      <w:i/>
      <w:iCs/>
      <w:color w:val="404040" w:themeColor="text1" w:themeTint="BF"/>
    </w:rPr>
  </w:style>
  <w:style w:type="character" w:styleId="IntenseEmphasis">
    <w:name w:val="Intense Emphasis"/>
    <w:basedOn w:val="DefaultParagraphFont"/>
    <w:uiPriority w:val="21"/>
    <w:qFormat/>
    <w:rsid w:val="0090639E"/>
    <w:rPr>
      <w:b/>
      <w:bCs/>
      <w:i/>
      <w:iCs/>
      <w:caps/>
    </w:rPr>
  </w:style>
  <w:style w:type="character" w:styleId="SubtleReference">
    <w:name w:val="Subtle Reference"/>
    <w:basedOn w:val="DefaultParagraphFont"/>
    <w:uiPriority w:val="31"/>
    <w:qFormat/>
    <w:rsid w:val="009063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639E"/>
    <w:rPr>
      <w:b/>
      <w:bCs/>
      <w:smallCaps/>
      <w:u w:val="single"/>
    </w:rPr>
  </w:style>
  <w:style w:type="character" w:styleId="BookTitle">
    <w:name w:val="Book Title"/>
    <w:basedOn w:val="DefaultParagraphFont"/>
    <w:uiPriority w:val="33"/>
    <w:qFormat/>
    <w:rsid w:val="0090639E"/>
    <w:rPr>
      <w:b w:val="0"/>
      <w:bCs w:val="0"/>
      <w:smallCaps/>
      <w:spacing w:val="5"/>
    </w:rPr>
  </w:style>
  <w:style w:type="paragraph" w:styleId="TOCHeading">
    <w:name w:val="TOC Heading"/>
    <w:basedOn w:val="Heading1"/>
    <w:next w:val="Normal"/>
    <w:uiPriority w:val="39"/>
    <w:semiHidden/>
    <w:unhideWhenUsed/>
    <w:qFormat/>
    <w:rsid w:val="0090639E"/>
    <w:pPr>
      <w:outlineLvl w:val="9"/>
    </w:pPr>
  </w:style>
  <w:style w:type="character" w:styleId="Hyperlink">
    <w:name w:val="Hyperlink"/>
    <w:basedOn w:val="DefaultParagraphFont"/>
    <w:uiPriority w:val="99"/>
    <w:unhideWhenUsed/>
    <w:rsid w:val="00F73268"/>
    <w:rPr>
      <w:color w:val="5F5F5F" w:themeColor="hyperlink"/>
      <w:u w:val="single"/>
    </w:rPr>
  </w:style>
  <w:style w:type="paragraph" w:styleId="Header">
    <w:name w:val="header"/>
    <w:basedOn w:val="Normal"/>
    <w:link w:val="HeaderChar"/>
    <w:uiPriority w:val="99"/>
    <w:unhideWhenUsed/>
    <w:rsid w:val="00F73268"/>
    <w:pPr>
      <w:tabs>
        <w:tab w:val="center" w:pos="4680"/>
        <w:tab w:val="right" w:pos="9360"/>
      </w:tabs>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F73268"/>
  </w:style>
  <w:style w:type="paragraph" w:styleId="Footer">
    <w:name w:val="footer"/>
    <w:basedOn w:val="Normal"/>
    <w:link w:val="FooterChar"/>
    <w:uiPriority w:val="99"/>
    <w:unhideWhenUsed/>
    <w:rsid w:val="00F73268"/>
    <w:pPr>
      <w:tabs>
        <w:tab w:val="center" w:pos="4680"/>
        <w:tab w:val="right" w:pos="9360"/>
      </w:tabs>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F73268"/>
  </w:style>
  <w:style w:type="character" w:customStyle="1" w:styleId="Mention">
    <w:name w:val="Mention"/>
    <w:basedOn w:val="DefaultParagraphFont"/>
    <w:uiPriority w:val="99"/>
    <w:semiHidden/>
    <w:unhideWhenUsed/>
    <w:rsid w:val="00F73268"/>
    <w:rPr>
      <w:color w:val="2B579A"/>
      <w:shd w:val="clear" w:color="auto" w:fill="E6E6E6"/>
    </w:rPr>
  </w:style>
  <w:style w:type="character" w:styleId="FollowedHyperlink">
    <w:name w:val="FollowedHyperlink"/>
    <w:basedOn w:val="DefaultParagraphFont"/>
    <w:uiPriority w:val="99"/>
    <w:semiHidden/>
    <w:unhideWhenUsed/>
    <w:rsid w:val="00DB3F0B"/>
    <w:rPr>
      <w:color w:val="919191" w:themeColor="followedHyperlink"/>
      <w:u w:val="single"/>
    </w:rPr>
  </w:style>
  <w:style w:type="paragraph" w:styleId="ListParagraph">
    <w:name w:val="List Paragraph"/>
    <w:basedOn w:val="Normal"/>
    <w:uiPriority w:val="34"/>
    <w:qFormat/>
    <w:rsid w:val="007F4C02"/>
    <w:pPr>
      <w:spacing w:after="160" w:line="259" w:lineRule="auto"/>
      <w:ind w:left="720"/>
      <w:contextualSpacing/>
    </w:pPr>
    <w:rPr>
      <w:rFonts w:asciiTheme="minorHAnsi" w:eastAsiaTheme="minorEastAsia" w:hAnsiTheme="minorHAnsi" w:cstheme="minorBidi"/>
      <w:color w:val="auto"/>
      <w:sz w:val="22"/>
      <w:szCs w:val="22"/>
    </w:rPr>
  </w:style>
  <w:style w:type="character" w:styleId="HTMLCite">
    <w:name w:val="HTML Cite"/>
    <w:basedOn w:val="DefaultParagraphFont"/>
    <w:uiPriority w:val="99"/>
    <w:semiHidden/>
    <w:unhideWhenUsed/>
    <w:rsid w:val="002C7AC8"/>
    <w:rPr>
      <w:i/>
      <w:iCs/>
    </w:rPr>
  </w:style>
  <w:style w:type="paragraph" w:customStyle="1" w:styleId="Default">
    <w:name w:val="Default"/>
    <w:rsid w:val="002C7AC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Referencelist">
    <w:name w:val="Reference list"/>
    <w:basedOn w:val="Normal"/>
    <w:link w:val="ReferencelistChar"/>
    <w:qFormat/>
    <w:rsid w:val="00DB1CE9"/>
    <w:pPr>
      <w:autoSpaceDE w:val="0"/>
      <w:autoSpaceDN w:val="0"/>
      <w:adjustRightInd w:val="0"/>
      <w:spacing w:after="120"/>
      <w:ind w:left="720" w:hanging="720"/>
    </w:pPr>
    <w:rPr>
      <w:rFonts w:asciiTheme="minorHAnsi" w:eastAsiaTheme="minorHAnsi" w:hAnsiTheme="minorHAnsi" w:cstheme="minorBidi"/>
      <w:color w:val="auto"/>
      <w:sz w:val="22"/>
      <w:szCs w:val="22"/>
      <w:lang w:val="en-GB"/>
    </w:rPr>
  </w:style>
  <w:style w:type="character" w:customStyle="1" w:styleId="ReferencelistChar">
    <w:name w:val="Reference list Char"/>
    <w:basedOn w:val="DefaultParagraphFont"/>
    <w:link w:val="Referencelist"/>
    <w:rsid w:val="00DB1CE9"/>
    <w:rPr>
      <w:rFonts w:eastAsiaTheme="minorHAnsi"/>
      <w:lang w:val="en-GB"/>
    </w:rPr>
  </w:style>
  <w:style w:type="table" w:styleId="TableGrid">
    <w:name w:val="Table Grid"/>
    <w:basedOn w:val="TableNormal"/>
    <w:uiPriority w:val="39"/>
    <w:rsid w:val="003A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8">
    <w:name w:val="Pa38"/>
    <w:basedOn w:val="Normal"/>
    <w:next w:val="Normal"/>
    <w:uiPriority w:val="99"/>
    <w:rsid w:val="00361EFE"/>
    <w:pPr>
      <w:autoSpaceDE w:val="0"/>
      <w:autoSpaceDN w:val="0"/>
      <w:adjustRightInd w:val="0"/>
      <w:spacing w:line="161" w:lineRule="atLeast"/>
    </w:pPr>
    <w:rPr>
      <w:rFonts w:ascii="AG Book BQ Light" w:eastAsiaTheme="minorHAnsi" w:hAnsi="AG Book BQ Light" w:cstheme="minorBidi"/>
      <w:color w:val="auto"/>
      <w:lang w:val="en-GB"/>
    </w:rPr>
  </w:style>
  <w:style w:type="character" w:customStyle="1" w:styleId="st1">
    <w:name w:val="st1"/>
    <w:basedOn w:val="DefaultParagraphFont"/>
    <w:rsid w:val="001C26B6"/>
  </w:style>
  <w:style w:type="paragraph" w:customStyle="1" w:styleId="Newparagraph">
    <w:name w:val="New paragraph"/>
    <w:basedOn w:val="Normal"/>
    <w:qFormat/>
    <w:rsid w:val="009064F5"/>
    <w:pPr>
      <w:spacing w:line="480" w:lineRule="auto"/>
      <w:ind w:firstLine="720"/>
    </w:pPr>
    <w:rPr>
      <w:color w:val="auto"/>
      <w:lang w:val="en-GB" w:eastAsia="en-GB"/>
    </w:rPr>
  </w:style>
  <w:style w:type="paragraph" w:customStyle="1" w:styleId="References">
    <w:name w:val="References"/>
    <w:basedOn w:val="Normal"/>
    <w:link w:val="ReferencesChar"/>
    <w:uiPriority w:val="99"/>
    <w:qFormat/>
    <w:rsid w:val="00DE7648"/>
    <w:pPr>
      <w:spacing w:before="120" w:line="360" w:lineRule="auto"/>
      <w:ind w:left="720" w:hanging="720"/>
      <w:contextualSpacing/>
    </w:pPr>
    <w:rPr>
      <w:color w:val="auto"/>
      <w:lang w:val="en-GB" w:eastAsia="en-GB"/>
    </w:rPr>
  </w:style>
  <w:style w:type="character" w:customStyle="1" w:styleId="ReferencesChar">
    <w:name w:val="References Char"/>
    <w:basedOn w:val="DefaultParagraphFont"/>
    <w:link w:val="References"/>
    <w:uiPriority w:val="99"/>
    <w:locked/>
    <w:rsid w:val="00DE7648"/>
    <w:rPr>
      <w:rFonts w:ascii="Times New Roman" w:eastAsia="Times New Roman" w:hAnsi="Times New Roman" w:cs="Times New Roman"/>
      <w:sz w:val="24"/>
      <w:szCs w:val="24"/>
      <w:lang w:val="en-GB" w:eastAsia="en-GB"/>
    </w:rPr>
  </w:style>
  <w:style w:type="paragraph" w:customStyle="1" w:styleId="DecimalAligned">
    <w:name w:val="Decimal Aligned"/>
    <w:basedOn w:val="Normal"/>
    <w:uiPriority w:val="40"/>
    <w:qFormat/>
    <w:rsid w:val="003C185F"/>
    <w:pPr>
      <w:tabs>
        <w:tab w:val="decimal" w:pos="360"/>
      </w:tabs>
      <w:spacing w:after="200" w:line="276" w:lineRule="auto"/>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C185F"/>
    <w:rPr>
      <w:rFonts w:asciiTheme="minorHAnsi" w:eastAsiaTheme="minorEastAsia" w:hAnsiTheme="minorHAnsi"/>
      <w:color w:val="auto"/>
      <w:sz w:val="20"/>
      <w:szCs w:val="20"/>
    </w:rPr>
  </w:style>
  <w:style w:type="character" w:customStyle="1" w:styleId="FootnoteTextChar">
    <w:name w:val="Footnote Text Char"/>
    <w:basedOn w:val="DefaultParagraphFont"/>
    <w:link w:val="FootnoteText"/>
    <w:uiPriority w:val="99"/>
    <w:rsid w:val="003C185F"/>
    <w:rPr>
      <w:rFonts w:cs="Times New Roman"/>
      <w:sz w:val="20"/>
      <w:szCs w:val="20"/>
    </w:rPr>
  </w:style>
  <w:style w:type="table" w:styleId="LightShading-Accent1">
    <w:name w:val="Light Shading Accent 1"/>
    <w:basedOn w:val="TableNormal"/>
    <w:uiPriority w:val="60"/>
    <w:rsid w:val="003C185F"/>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BalloonText">
    <w:name w:val="Balloon Text"/>
    <w:basedOn w:val="Normal"/>
    <w:link w:val="BalloonTextChar"/>
    <w:uiPriority w:val="99"/>
    <w:semiHidden/>
    <w:unhideWhenUsed/>
    <w:rsid w:val="00A2782D"/>
    <w:rPr>
      <w:rFonts w:ascii="Tahoma" w:hAnsi="Tahoma" w:cs="Tahoma"/>
      <w:sz w:val="16"/>
      <w:szCs w:val="16"/>
    </w:rPr>
  </w:style>
  <w:style w:type="character" w:customStyle="1" w:styleId="BalloonTextChar">
    <w:name w:val="Balloon Text Char"/>
    <w:basedOn w:val="DefaultParagraphFont"/>
    <w:link w:val="BalloonText"/>
    <w:uiPriority w:val="99"/>
    <w:semiHidden/>
    <w:rsid w:val="00A2782D"/>
    <w:rPr>
      <w:rFonts w:ascii="Tahoma" w:eastAsia="Times New Roman" w:hAnsi="Tahoma" w:cs="Tahoma"/>
      <w:color w:val="000000"/>
      <w:sz w:val="16"/>
      <w:szCs w:val="16"/>
    </w:rPr>
  </w:style>
  <w:style w:type="character" w:styleId="FootnoteReference">
    <w:name w:val="footnote reference"/>
    <w:basedOn w:val="DefaultParagraphFont"/>
    <w:uiPriority w:val="99"/>
    <w:semiHidden/>
    <w:unhideWhenUsed/>
    <w:rsid w:val="004409E0"/>
    <w:rPr>
      <w:vertAlign w:val="superscript"/>
    </w:rPr>
  </w:style>
  <w:style w:type="paragraph" w:styleId="NormalWeb">
    <w:name w:val="Normal (Web)"/>
    <w:basedOn w:val="Normal"/>
    <w:uiPriority w:val="99"/>
    <w:rsid w:val="004409E0"/>
    <w:pPr>
      <w:spacing w:beforeLines="1" w:afterLines="1"/>
    </w:pPr>
    <w:rPr>
      <w:rFonts w:ascii="Times" w:eastAsiaTheme="minorHAnsi" w:hAnsi="Times"/>
      <w:color w:val="auto"/>
      <w:sz w:val="20"/>
      <w:szCs w:val="20"/>
      <w:lang w:val="en-GB"/>
    </w:rPr>
  </w:style>
  <w:style w:type="paragraph" w:customStyle="1" w:styleId="ydpac2c580fmsobibliography">
    <w:name w:val="ydpac2c580fmsobibliography"/>
    <w:basedOn w:val="Normal"/>
    <w:rsid w:val="00D97B5E"/>
    <w:pPr>
      <w:spacing w:beforeLines="1" w:afterLines="1"/>
    </w:pPr>
    <w:rPr>
      <w:rFonts w:ascii="Times" w:eastAsiaTheme="minorEastAsia" w:hAnsi="Times" w:cstheme="minorBidi"/>
      <w:color w:val="auto"/>
      <w:sz w:val="20"/>
      <w:szCs w:val="20"/>
      <w:lang w:val="en-GB"/>
    </w:rPr>
  </w:style>
  <w:style w:type="paragraph" w:styleId="Bibliography">
    <w:name w:val="Bibliography"/>
    <w:basedOn w:val="Normal"/>
    <w:next w:val="Normal"/>
    <w:rsid w:val="00D9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7312">
      <w:bodyDiv w:val="1"/>
      <w:marLeft w:val="0"/>
      <w:marRight w:val="0"/>
      <w:marTop w:val="0"/>
      <w:marBottom w:val="0"/>
      <w:divBdr>
        <w:top w:val="none" w:sz="0" w:space="0" w:color="auto"/>
        <w:left w:val="none" w:sz="0" w:space="0" w:color="auto"/>
        <w:bottom w:val="none" w:sz="0" w:space="0" w:color="auto"/>
        <w:right w:val="none" w:sz="0" w:space="0" w:color="auto"/>
      </w:divBdr>
    </w:div>
    <w:div w:id="876817446">
      <w:bodyDiv w:val="1"/>
      <w:marLeft w:val="0"/>
      <w:marRight w:val="0"/>
      <w:marTop w:val="0"/>
      <w:marBottom w:val="0"/>
      <w:divBdr>
        <w:top w:val="none" w:sz="0" w:space="0" w:color="auto"/>
        <w:left w:val="none" w:sz="0" w:space="0" w:color="auto"/>
        <w:bottom w:val="none" w:sz="0" w:space="0" w:color="auto"/>
        <w:right w:val="none" w:sz="0" w:space="0" w:color="auto"/>
      </w:divBdr>
      <w:divsChild>
        <w:div w:id="1389953729">
          <w:marLeft w:val="0"/>
          <w:marRight w:val="0"/>
          <w:marTop w:val="0"/>
          <w:marBottom w:val="0"/>
          <w:divBdr>
            <w:top w:val="none" w:sz="0" w:space="0" w:color="auto"/>
            <w:left w:val="none" w:sz="0" w:space="0" w:color="auto"/>
            <w:bottom w:val="none" w:sz="0" w:space="0" w:color="auto"/>
            <w:right w:val="none" w:sz="0" w:space="0" w:color="auto"/>
          </w:divBdr>
          <w:divsChild>
            <w:div w:id="1711032597">
              <w:marLeft w:val="0"/>
              <w:marRight w:val="0"/>
              <w:marTop w:val="0"/>
              <w:marBottom w:val="0"/>
              <w:divBdr>
                <w:top w:val="none" w:sz="0" w:space="0" w:color="auto"/>
                <w:left w:val="none" w:sz="0" w:space="0" w:color="auto"/>
                <w:bottom w:val="none" w:sz="0" w:space="0" w:color="auto"/>
                <w:right w:val="none" w:sz="0" w:space="0" w:color="auto"/>
              </w:divBdr>
              <w:divsChild>
                <w:div w:id="1297298465">
                  <w:marLeft w:val="0"/>
                  <w:marRight w:val="0"/>
                  <w:marTop w:val="0"/>
                  <w:marBottom w:val="0"/>
                  <w:divBdr>
                    <w:top w:val="none" w:sz="0" w:space="0" w:color="auto"/>
                    <w:left w:val="none" w:sz="0" w:space="0" w:color="auto"/>
                    <w:bottom w:val="none" w:sz="0" w:space="0" w:color="auto"/>
                    <w:right w:val="none" w:sz="0" w:space="0" w:color="auto"/>
                  </w:divBdr>
                  <w:divsChild>
                    <w:div w:id="2026713207">
                      <w:marLeft w:val="0"/>
                      <w:marRight w:val="0"/>
                      <w:marTop w:val="45"/>
                      <w:marBottom w:val="0"/>
                      <w:divBdr>
                        <w:top w:val="none" w:sz="0" w:space="0" w:color="auto"/>
                        <w:left w:val="none" w:sz="0" w:space="0" w:color="auto"/>
                        <w:bottom w:val="none" w:sz="0" w:space="0" w:color="auto"/>
                        <w:right w:val="none" w:sz="0" w:space="0" w:color="auto"/>
                      </w:divBdr>
                      <w:divsChild>
                        <w:div w:id="1705518786">
                          <w:marLeft w:val="0"/>
                          <w:marRight w:val="0"/>
                          <w:marTop w:val="0"/>
                          <w:marBottom w:val="0"/>
                          <w:divBdr>
                            <w:top w:val="none" w:sz="0" w:space="0" w:color="auto"/>
                            <w:left w:val="none" w:sz="0" w:space="0" w:color="auto"/>
                            <w:bottom w:val="none" w:sz="0" w:space="0" w:color="auto"/>
                            <w:right w:val="none" w:sz="0" w:space="0" w:color="auto"/>
                          </w:divBdr>
                          <w:divsChild>
                            <w:div w:id="634259466">
                              <w:marLeft w:val="2070"/>
                              <w:marRight w:val="3960"/>
                              <w:marTop w:val="0"/>
                              <w:marBottom w:val="0"/>
                              <w:divBdr>
                                <w:top w:val="none" w:sz="0" w:space="0" w:color="auto"/>
                                <w:left w:val="none" w:sz="0" w:space="0" w:color="auto"/>
                                <w:bottom w:val="none" w:sz="0" w:space="0" w:color="auto"/>
                                <w:right w:val="none" w:sz="0" w:space="0" w:color="auto"/>
                              </w:divBdr>
                              <w:divsChild>
                                <w:div w:id="350884833">
                                  <w:marLeft w:val="0"/>
                                  <w:marRight w:val="0"/>
                                  <w:marTop w:val="0"/>
                                  <w:marBottom w:val="0"/>
                                  <w:divBdr>
                                    <w:top w:val="none" w:sz="0" w:space="0" w:color="auto"/>
                                    <w:left w:val="none" w:sz="0" w:space="0" w:color="auto"/>
                                    <w:bottom w:val="none" w:sz="0" w:space="0" w:color="auto"/>
                                    <w:right w:val="none" w:sz="0" w:space="0" w:color="auto"/>
                                  </w:divBdr>
                                  <w:divsChild>
                                    <w:div w:id="2105149888">
                                      <w:marLeft w:val="0"/>
                                      <w:marRight w:val="0"/>
                                      <w:marTop w:val="0"/>
                                      <w:marBottom w:val="0"/>
                                      <w:divBdr>
                                        <w:top w:val="none" w:sz="0" w:space="0" w:color="auto"/>
                                        <w:left w:val="none" w:sz="0" w:space="0" w:color="auto"/>
                                        <w:bottom w:val="none" w:sz="0" w:space="0" w:color="auto"/>
                                        <w:right w:val="none" w:sz="0" w:space="0" w:color="auto"/>
                                      </w:divBdr>
                                      <w:divsChild>
                                        <w:div w:id="1533297789">
                                          <w:marLeft w:val="0"/>
                                          <w:marRight w:val="0"/>
                                          <w:marTop w:val="0"/>
                                          <w:marBottom w:val="0"/>
                                          <w:divBdr>
                                            <w:top w:val="none" w:sz="0" w:space="0" w:color="auto"/>
                                            <w:left w:val="none" w:sz="0" w:space="0" w:color="auto"/>
                                            <w:bottom w:val="none" w:sz="0" w:space="0" w:color="auto"/>
                                            <w:right w:val="none" w:sz="0" w:space="0" w:color="auto"/>
                                          </w:divBdr>
                                          <w:divsChild>
                                            <w:div w:id="1759254378">
                                              <w:marLeft w:val="0"/>
                                              <w:marRight w:val="0"/>
                                              <w:marTop w:val="90"/>
                                              <w:marBottom w:val="0"/>
                                              <w:divBdr>
                                                <w:top w:val="none" w:sz="0" w:space="0" w:color="auto"/>
                                                <w:left w:val="none" w:sz="0" w:space="0" w:color="auto"/>
                                                <w:bottom w:val="none" w:sz="0" w:space="0" w:color="auto"/>
                                                <w:right w:val="none" w:sz="0" w:space="0" w:color="auto"/>
                                              </w:divBdr>
                                              <w:divsChild>
                                                <w:div w:id="644702938">
                                                  <w:marLeft w:val="0"/>
                                                  <w:marRight w:val="0"/>
                                                  <w:marTop w:val="0"/>
                                                  <w:marBottom w:val="0"/>
                                                  <w:divBdr>
                                                    <w:top w:val="none" w:sz="0" w:space="0" w:color="auto"/>
                                                    <w:left w:val="none" w:sz="0" w:space="0" w:color="auto"/>
                                                    <w:bottom w:val="none" w:sz="0" w:space="0" w:color="auto"/>
                                                    <w:right w:val="none" w:sz="0" w:space="0" w:color="auto"/>
                                                  </w:divBdr>
                                                  <w:divsChild>
                                                    <w:div w:id="466626043">
                                                      <w:marLeft w:val="0"/>
                                                      <w:marRight w:val="0"/>
                                                      <w:marTop w:val="0"/>
                                                      <w:marBottom w:val="0"/>
                                                      <w:divBdr>
                                                        <w:top w:val="none" w:sz="0" w:space="0" w:color="auto"/>
                                                        <w:left w:val="none" w:sz="0" w:space="0" w:color="auto"/>
                                                        <w:bottom w:val="none" w:sz="0" w:space="0" w:color="auto"/>
                                                        <w:right w:val="none" w:sz="0" w:space="0" w:color="auto"/>
                                                      </w:divBdr>
                                                      <w:divsChild>
                                                        <w:div w:id="1456212696">
                                                          <w:marLeft w:val="0"/>
                                                          <w:marRight w:val="0"/>
                                                          <w:marTop w:val="0"/>
                                                          <w:marBottom w:val="0"/>
                                                          <w:divBdr>
                                                            <w:top w:val="none" w:sz="0" w:space="0" w:color="auto"/>
                                                            <w:left w:val="none" w:sz="0" w:space="0" w:color="auto"/>
                                                            <w:bottom w:val="none" w:sz="0" w:space="0" w:color="auto"/>
                                                            <w:right w:val="none" w:sz="0" w:space="0" w:color="auto"/>
                                                          </w:divBdr>
                                                          <w:divsChild>
                                                            <w:div w:id="971714322">
                                                              <w:marLeft w:val="0"/>
                                                              <w:marRight w:val="0"/>
                                                              <w:marTop w:val="0"/>
                                                              <w:marBottom w:val="390"/>
                                                              <w:divBdr>
                                                                <w:top w:val="none" w:sz="0" w:space="0" w:color="auto"/>
                                                                <w:left w:val="none" w:sz="0" w:space="0" w:color="auto"/>
                                                                <w:bottom w:val="none" w:sz="0" w:space="0" w:color="auto"/>
                                                                <w:right w:val="none" w:sz="0" w:space="0" w:color="auto"/>
                                                              </w:divBdr>
                                                              <w:divsChild>
                                                                <w:div w:id="2143377646">
                                                                  <w:marLeft w:val="0"/>
                                                                  <w:marRight w:val="0"/>
                                                                  <w:marTop w:val="0"/>
                                                                  <w:marBottom w:val="0"/>
                                                                  <w:divBdr>
                                                                    <w:top w:val="none" w:sz="0" w:space="0" w:color="auto"/>
                                                                    <w:left w:val="none" w:sz="0" w:space="0" w:color="auto"/>
                                                                    <w:bottom w:val="none" w:sz="0" w:space="0" w:color="auto"/>
                                                                    <w:right w:val="none" w:sz="0" w:space="0" w:color="auto"/>
                                                                  </w:divBdr>
                                                                  <w:divsChild>
                                                                    <w:div w:id="2019891882">
                                                                      <w:marLeft w:val="0"/>
                                                                      <w:marRight w:val="0"/>
                                                                      <w:marTop w:val="0"/>
                                                                      <w:marBottom w:val="0"/>
                                                                      <w:divBdr>
                                                                        <w:top w:val="none" w:sz="0" w:space="0" w:color="auto"/>
                                                                        <w:left w:val="none" w:sz="0" w:space="0" w:color="auto"/>
                                                                        <w:bottom w:val="none" w:sz="0" w:space="0" w:color="auto"/>
                                                                        <w:right w:val="none" w:sz="0" w:space="0" w:color="auto"/>
                                                                      </w:divBdr>
                                                                      <w:divsChild>
                                                                        <w:div w:id="1025667577">
                                                                          <w:marLeft w:val="0"/>
                                                                          <w:marRight w:val="0"/>
                                                                          <w:marTop w:val="0"/>
                                                                          <w:marBottom w:val="0"/>
                                                                          <w:divBdr>
                                                                            <w:top w:val="none" w:sz="0" w:space="0" w:color="auto"/>
                                                                            <w:left w:val="none" w:sz="0" w:space="0" w:color="auto"/>
                                                                            <w:bottom w:val="none" w:sz="0" w:space="0" w:color="auto"/>
                                                                            <w:right w:val="none" w:sz="0" w:space="0" w:color="auto"/>
                                                                          </w:divBdr>
                                                                          <w:divsChild>
                                                                            <w:div w:id="2064130919">
                                                                              <w:marLeft w:val="0"/>
                                                                              <w:marRight w:val="0"/>
                                                                              <w:marTop w:val="0"/>
                                                                              <w:marBottom w:val="0"/>
                                                                              <w:divBdr>
                                                                                <w:top w:val="none" w:sz="0" w:space="0" w:color="auto"/>
                                                                                <w:left w:val="none" w:sz="0" w:space="0" w:color="auto"/>
                                                                                <w:bottom w:val="none" w:sz="0" w:space="0" w:color="auto"/>
                                                                                <w:right w:val="none" w:sz="0" w:space="0" w:color="auto"/>
                                                                              </w:divBdr>
                                                                              <w:divsChild>
                                                                                <w:div w:id="1517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3041">
      <w:bodyDiv w:val="1"/>
      <w:marLeft w:val="0"/>
      <w:marRight w:val="0"/>
      <w:marTop w:val="0"/>
      <w:marBottom w:val="0"/>
      <w:divBdr>
        <w:top w:val="none" w:sz="0" w:space="0" w:color="auto"/>
        <w:left w:val="none" w:sz="0" w:space="0" w:color="auto"/>
        <w:bottom w:val="none" w:sz="0" w:space="0" w:color="auto"/>
        <w:right w:val="none" w:sz="0" w:space="0" w:color="auto"/>
      </w:divBdr>
    </w:div>
    <w:div w:id="1806779848">
      <w:bodyDiv w:val="1"/>
      <w:marLeft w:val="0"/>
      <w:marRight w:val="0"/>
      <w:marTop w:val="0"/>
      <w:marBottom w:val="0"/>
      <w:divBdr>
        <w:top w:val="none" w:sz="0" w:space="0" w:color="auto"/>
        <w:left w:val="none" w:sz="0" w:space="0" w:color="auto"/>
        <w:bottom w:val="none" w:sz="0" w:space="0" w:color="auto"/>
        <w:right w:val="none" w:sz="0" w:space="0" w:color="auto"/>
      </w:divBdr>
      <w:divsChild>
        <w:div w:id="222645062">
          <w:marLeft w:val="0"/>
          <w:marRight w:val="0"/>
          <w:marTop w:val="0"/>
          <w:marBottom w:val="0"/>
          <w:divBdr>
            <w:top w:val="none" w:sz="0" w:space="0" w:color="auto"/>
            <w:left w:val="none" w:sz="0" w:space="0" w:color="auto"/>
            <w:bottom w:val="none" w:sz="0" w:space="0" w:color="auto"/>
            <w:right w:val="none" w:sz="0" w:space="0" w:color="auto"/>
          </w:divBdr>
          <w:divsChild>
            <w:div w:id="475613026">
              <w:marLeft w:val="0"/>
              <w:marRight w:val="0"/>
              <w:marTop w:val="0"/>
              <w:marBottom w:val="0"/>
              <w:divBdr>
                <w:top w:val="none" w:sz="0" w:space="0" w:color="auto"/>
                <w:left w:val="none" w:sz="0" w:space="0" w:color="auto"/>
                <w:bottom w:val="none" w:sz="0" w:space="0" w:color="auto"/>
                <w:right w:val="none" w:sz="0" w:space="0" w:color="auto"/>
              </w:divBdr>
              <w:divsChild>
                <w:div w:id="651445657">
                  <w:marLeft w:val="0"/>
                  <w:marRight w:val="0"/>
                  <w:marTop w:val="0"/>
                  <w:marBottom w:val="0"/>
                  <w:divBdr>
                    <w:top w:val="none" w:sz="0" w:space="0" w:color="auto"/>
                    <w:left w:val="none" w:sz="0" w:space="0" w:color="auto"/>
                    <w:bottom w:val="none" w:sz="0" w:space="0" w:color="auto"/>
                    <w:right w:val="none" w:sz="0" w:space="0" w:color="auto"/>
                  </w:divBdr>
                  <w:divsChild>
                    <w:div w:id="1167592383">
                      <w:marLeft w:val="0"/>
                      <w:marRight w:val="0"/>
                      <w:marTop w:val="45"/>
                      <w:marBottom w:val="0"/>
                      <w:divBdr>
                        <w:top w:val="none" w:sz="0" w:space="0" w:color="auto"/>
                        <w:left w:val="none" w:sz="0" w:space="0" w:color="auto"/>
                        <w:bottom w:val="none" w:sz="0" w:space="0" w:color="auto"/>
                        <w:right w:val="none" w:sz="0" w:space="0" w:color="auto"/>
                      </w:divBdr>
                      <w:divsChild>
                        <w:div w:id="672882633">
                          <w:marLeft w:val="0"/>
                          <w:marRight w:val="0"/>
                          <w:marTop w:val="0"/>
                          <w:marBottom w:val="0"/>
                          <w:divBdr>
                            <w:top w:val="none" w:sz="0" w:space="0" w:color="auto"/>
                            <w:left w:val="none" w:sz="0" w:space="0" w:color="auto"/>
                            <w:bottom w:val="none" w:sz="0" w:space="0" w:color="auto"/>
                            <w:right w:val="none" w:sz="0" w:space="0" w:color="auto"/>
                          </w:divBdr>
                          <w:divsChild>
                            <w:div w:id="1655337629">
                              <w:marLeft w:val="2070"/>
                              <w:marRight w:val="3960"/>
                              <w:marTop w:val="0"/>
                              <w:marBottom w:val="0"/>
                              <w:divBdr>
                                <w:top w:val="none" w:sz="0" w:space="0" w:color="auto"/>
                                <w:left w:val="none" w:sz="0" w:space="0" w:color="auto"/>
                                <w:bottom w:val="none" w:sz="0" w:space="0" w:color="auto"/>
                                <w:right w:val="none" w:sz="0" w:space="0" w:color="auto"/>
                              </w:divBdr>
                              <w:divsChild>
                                <w:div w:id="1414736201">
                                  <w:marLeft w:val="0"/>
                                  <w:marRight w:val="0"/>
                                  <w:marTop w:val="0"/>
                                  <w:marBottom w:val="0"/>
                                  <w:divBdr>
                                    <w:top w:val="none" w:sz="0" w:space="0" w:color="auto"/>
                                    <w:left w:val="none" w:sz="0" w:space="0" w:color="auto"/>
                                    <w:bottom w:val="none" w:sz="0" w:space="0" w:color="auto"/>
                                    <w:right w:val="none" w:sz="0" w:space="0" w:color="auto"/>
                                  </w:divBdr>
                                  <w:divsChild>
                                    <w:div w:id="991327636">
                                      <w:marLeft w:val="0"/>
                                      <w:marRight w:val="0"/>
                                      <w:marTop w:val="0"/>
                                      <w:marBottom w:val="0"/>
                                      <w:divBdr>
                                        <w:top w:val="none" w:sz="0" w:space="0" w:color="auto"/>
                                        <w:left w:val="none" w:sz="0" w:space="0" w:color="auto"/>
                                        <w:bottom w:val="none" w:sz="0" w:space="0" w:color="auto"/>
                                        <w:right w:val="none" w:sz="0" w:space="0" w:color="auto"/>
                                      </w:divBdr>
                                      <w:divsChild>
                                        <w:div w:id="1792244803">
                                          <w:marLeft w:val="0"/>
                                          <w:marRight w:val="0"/>
                                          <w:marTop w:val="0"/>
                                          <w:marBottom w:val="0"/>
                                          <w:divBdr>
                                            <w:top w:val="none" w:sz="0" w:space="0" w:color="auto"/>
                                            <w:left w:val="none" w:sz="0" w:space="0" w:color="auto"/>
                                            <w:bottom w:val="none" w:sz="0" w:space="0" w:color="auto"/>
                                            <w:right w:val="none" w:sz="0" w:space="0" w:color="auto"/>
                                          </w:divBdr>
                                          <w:divsChild>
                                            <w:div w:id="379256945">
                                              <w:marLeft w:val="0"/>
                                              <w:marRight w:val="0"/>
                                              <w:marTop w:val="90"/>
                                              <w:marBottom w:val="0"/>
                                              <w:divBdr>
                                                <w:top w:val="none" w:sz="0" w:space="0" w:color="auto"/>
                                                <w:left w:val="none" w:sz="0" w:space="0" w:color="auto"/>
                                                <w:bottom w:val="none" w:sz="0" w:space="0" w:color="auto"/>
                                                <w:right w:val="none" w:sz="0" w:space="0" w:color="auto"/>
                                              </w:divBdr>
                                              <w:divsChild>
                                                <w:div w:id="2074693358">
                                                  <w:marLeft w:val="0"/>
                                                  <w:marRight w:val="0"/>
                                                  <w:marTop w:val="0"/>
                                                  <w:marBottom w:val="0"/>
                                                  <w:divBdr>
                                                    <w:top w:val="none" w:sz="0" w:space="0" w:color="auto"/>
                                                    <w:left w:val="none" w:sz="0" w:space="0" w:color="auto"/>
                                                    <w:bottom w:val="none" w:sz="0" w:space="0" w:color="auto"/>
                                                    <w:right w:val="none" w:sz="0" w:space="0" w:color="auto"/>
                                                  </w:divBdr>
                                                  <w:divsChild>
                                                    <w:div w:id="1392844268">
                                                      <w:marLeft w:val="0"/>
                                                      <w:marRight w:val="0"/>
                                                      <w:marTop w:val="0"/>
                                                      <w:marBottom w:val="0"/>
                                                      <w:divBdr>
                                                        <w:top w:val="none" w:sz="0" w:space="0" w:color="auto"/>
                                                        <w:left w:val="none" w:sz="0" w:space="0" w:color="auto"/>
                                                        <w:bottom w:val="none" w:sz="0" w:space="0" w:color="auto"/>
                                                        <w:right w:val="none" w:sz="0" w:space="0" w:color="auto"/>
                                                      </w:divBdr>
                                                      <w:divsChild>
                                                        <w:div w:id="1425569652">
                                                          <w:marLeft w:val="0"/>
                                                          <w:marRight w:val="0"/>
                                                          <w:marTop w:val="0"/>
                                                          <w:marBottom w:val="0"/>
                                                          <w:divBdr>
                                                            <w:top w:val="none" w:sz="0" w:space="0" w:color="auto"/>
                                                            <w:left w:val="none" w:sz="0" w:space="0" w:color="auto"/>
                                                            <w:bottom w:val="none" w:sz="0" w:space="0" w:color="auto"/>
                                                            <w:right w:val="none" w:sz="0" w:space="0" w:color="auto"/>
                                                          </w:divBdr>
                                                          <w:divsChild>
                                                            <w:div w:id="561066330">
                                                              <w:marLeft w:val="0"/>
                                                              <w:marRight w:val="0"/>
                                                              <w:marTop w:val="0"/>
                                                              <w:marBottom w:val="390"/>
                                                              <w:divBdr>
                                                                <w:top w:val="none" w:sz="0" w:space="0" w:color="auto"/>
                                                                <w:left w:val="none" w:sz="0" w:space="0" w:color="auto"/>
                                                                <w:bottom w:val="none" w:sz="0" w:space="0" w:color="auto"/>
                                                                <w:right w:val="none" w:sz="0" w:space="0" w:color="auto"/>
                                                              </w:divBdr>
                                                              <w:divsChild>
                                                                <w:div w:id="2087418512">
                                                                  <w:marLeft w:val="0"/>
                                                                  <w:marRight w:val="0"/>
                                                                  <w:marTop w:val="0"/>
                                                                  <w:marBottom w:val="0"/>
                                                                  <w:divBdr>
                                                                    <w:top w:val="none" w:sz="0" w:space="0" w:color="auto"/>
                                                                    <w:left w:val="none" w:sz="0" w:space="0" w:color="auto"/>
                                                                    <w:bottom w:val="none" w:sz="0" w:space="0" w:color="auto"/>
                                                                    <w:right w:val="none" w:sz="0" w:space="0" w:color="auto"/>
                                                                  </w:divBdr>
                                                                  <w:divsChild>
                                                                    <w:div w:id="1443843744">
                                                                      <w:marLeft w:val="0"/>
                                                                      <w:marRight w:val="0"/>
                                                                      <w:marTop w:val="0"/>
                                                                      <w:marBottom w:val="0"/>
                                                                      <w:divBdr>
                                                                        <w:top w:val="none" w:sz="0" w:space="0" w:color="auto"/>
                                                                        <w:left w:val="none" w:sz="0" w:space="0" w:color="auto"/>
                                                                        <w:bottom w:val="none" w:sz="0" w:space="0" w:color="auto"/>
                                                                        <w:right w:val="none" w:sz="0" w:space="0" w:color="auto"/>
                                                                      </w:divBdr>
                                                                      <w:divsChild>
                                                                        <w:div w:id="447505504">
                                                                          <w:marLeft w:val="0"/>
                                                                          <w:marRight w:val="0"/>
                                                                          <w:marTop w:val="0"/>
                                                                          <w:marBottom w:val="0"/>
                                                                          <w:divBdr>
                                                                            <w:top w:val="none" w:sz="0" w:space="0" w:color="auto"/>
                                                                            <w:left w:val="none" w:sz="0" w:space="0" w:color="auto"/>
                                                                            <w:bottom w:val="none" w:sz="0" w:space="0" w:color="auto"/>
                                                                            <w:right w:val="none" w:sz="0" w:space="0" w:color="auto"/>
                                                                          </w:divBdr>
                                                                          <w:divsChild>
                                                                            <w:div w:id="309991299">
                                                                              <w:marLeft w:val="0"/>
                                                                              <w:marRight w:val="0"/>
                                                                              <w:marTop w:val="0"/>
                                                                              <w:marBottom w:val="0"/>
                                                                              <w:divBdr>
                                                                                <w:top w:val="none" w:sz="0" w:space="0" w:color="auto"/>
                                                                                <w:left w:val="none" w:sz="0" w:space="0" w:color="auto"/>
                                                                                <w:bottom w:val="none" w:sz="0" w:space="0" w:color="auto"/>
                                                                                <w:right w:val="none" w:sz="0" w:space="0" w:color="auto"/>
                                                                              </w:divBdr>
                                                                              <w:divsChild>
                                                                                <w:div w:id="177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bera.ac.uk/wp-content/uploads/2013/12/BERA-RSA-Research-Teaching-Profession-FULL-REPORT-for-web.pdf" TargetMode="External"/><Relationship Id="rId26" Type="http://schemas.openxmlformats.org/officeDocument/2006/relationships/hyperlink" Target="https://papers.ssrn.com/abstract=2020722" TargetMode="External"/><Relationship Id="rId3" Type="http://schemas.openxmlformats.org/officeDocument/2006/relationships/styles" Target="styles.xml"/><Relationship Id="rId21" Type="http://schemas.openxmlformats.org/officeDocument/2006/relationships/hyperlink" Target="https://edpolicy.stanford.edu/sites/sefault/files/publications/how-high-achieving-countries-develop-great-teachers.pdf" TargetMode="External"/><Relationship Id="rId34" Type="http://schemas.openxmlformats.org/officeDocument/2006/relationships/hyperlink" Target="http://wales.gov.uk/docs/dcells/publications/131007-review-of-initial-teacher-training-in-wales-en.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mpib-berlin.mpg.de/Pisa/DrawingTheLessons.pdf" TargetMode="External"/><Relationship Id="rId25" Type="http://schemas.openxmlformats.org/officeDocument/2006/relationships/hyperlink" Target="http://www.aitsl.edu.au/docs/default-source/initial-teacher-education-resources/ite-reform-stimulus-paper-1-mayer.pdf" TargetMode="External"/><Relationship Id="rId33" Type="http://schemas.openxmlformats.org/officeDocument/2006/relationships/hyperlink" Target="https://educationendowmentfoundation.org.uk/public/files/Publications/Campaigns/Implementation/EEF-Implementation-Guidance-Report.pdf" TargetMode="External"/><Relationship Id="rId2" Type="http://schemas.openxmlformats.org/officeDocument/2006/relationships/numbering" Target="numbering.xml"/><Relationship Id="rId16" Type="http://schemas.openxmlformats.org/officeDocument/2006/relationships/hyperlink" Target="https://www.ifs.org.uk/uploads/publications/comms/R118.pdf" TargetMode="External"/><Relationship Id="rId20" Type="http://schemas.openxmlformats.org/officeDocument/2006/relationships/hyperlink" Target="http://www.mofet.macam.ac.il/amitim/hashiva/Documents/Critiquing%20Teacher%20Preparation.pdf" TargetMode="External"/><Relationship Id="rId29" Type="http://schemas.openxmlformats.org/officeDocument/2006/relationships/hyperlink" Target="https://www.nao.org.uk/wpcontent/uploads/2016/02/Training-new-teach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nfer.ac.uk/publications/LFSB01/LFSB01.pdf" TargetMode="External"/><Relationship Id="rId32" Type="http://schemas.openxmlformats.org/officeDocument/2006/relationships/hyperlink" Target="http://www.oecd.org/site/eduistp2012/49850576.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pa.stanford.edu/tpr-new/teacher-pathway-project" TargetMode="External"/><Relationship Id="rId23" Type="http://schemas.openxmlformats.org/officeDocument/2006/relationships/hyperlink" Target="https://ideas.repec.org/p/umc/wpaper/1210.html" TargetMode="External"/><Relationship Id="rId28" Type="http://schemas.openxmlformats.org/officeDocument/2006/relationships/hyperlink" Target="http://www.oecd.org/education/school/48627229.pdf"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mofet.macam.ac.il/amitim/hashiva/Documents/Framing%20Teacher%20Preparation%20Research.pdf" TargetMode="External"/><Relationship Id="rId31" Type="http://schemas.openxmlformats.org/officeDocument/2006/relationships/hyperlink" Target="http://www.scde.ac.uk/projects/measuring-quality-in-initial-teacher-education-mquite/"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gif"/><Relationship Id="rId22" Type="http://schemas.openxmlformats.org/officeDocument/2006/relationships/hyperlink" Target="http://dx.doi.org/10.1787/9789264270695-en" TargetMode="External"/><Relationship Id="rId27" Type="http://schemas.openxmlformats.org/officeDocument/2006/relationships/hyperlink" Target="http://www.gov.scot/resource/doc/325663/0105011.pdf" TargetMode="External"/><Relationship Id="rId30" Type="http://schemas.openxmlformats.org/officeDocument/2006/relationships/hyperlink" Target="http://www.scde.ac.uk/wp-content/uploads/2017/10/MQuITE-Lit-Review-FINAL-Oct-2017.pdf"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C31CA-615B-4267-81D6-7CB8656D1AF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22D03300-8727-4FDA-8873-9BF2006E4DE7}">
      <dgm:prSet phldrT="[Text]"/>
      <dgm:spPr/>
      <dgm:t>
        <a:bodyPr/>
        <a:lstStyle/>
        <a:p>
          <a:r>
            <a:rPr lang="en-GB" b="1">
              <a:solidFill>
                <a:sysClr val="windowText" lastClr="000000"/>
              </a:solidFill>
            </a:rPr>
            <a:t>What aspect of the teacher quality problem is schools-led ITE designed to address?</a:t>
          </a:r>
        </a:p>
      </dgm:t>
    </dgm:pt>
    <dgm:pt modelId="{9BC8D629-47B9-44AD-9EB2-0A4E7D3D1353}" type="parTrans" cxnId="{9F828B50-7343-4EDD-A50F-24C599330C4A}">
      <dgm:prSet/>
      <dgm:spPr/>
      <dgm:t>
        <a:bodyPr/>
        <a:lstStyle/>
        <a:p>
          <a:endParaRPr lang="en-GB"/>
        </a:p>
      </dgm:t>
    </dgm:pt>
    <dgm:pt modelId="{8AA54465-284D-4B3A-87D4-7CE2099627ED}" type="sibTrans" cxnId="{9F828B50-7343-4EDD-A50F-24C599330C4A}">
      <dgm:prSet/>
      <dgm:spPr/>
      <dgm:t>
        <a:bodyPr/>
        <a:lstStyle/>
        <a:p>
          <a:endParaRPr lang="en-GB"/>
        </a:p>
      </dgm:t>
    </dgm:pt>
    <dgm:pt modelId="{F08EDCAC-D149-4454-9EDE-BE8FBC1D3A1E}">
      <dgm:prSet phldrT="[Text]"/>
      <dgm:spPr/>
      <dgm:t>
        <a:bodyPr/>
        <a:lstStyle/>
        <a:p>
          <a:r>
            <a:rPr lang="en-GB" b="1">
              <a:solidFill>
                <a:sysClr val="windowText" lastClr="000000"/>
              </a:solidFill>
            </a:rPr>
            <a:t>Change strategy</a:t>
          </a:r>
        </a:p>
      </dgm:t>
    </dgm:pt>
    <dgm:pt modelId="{E92F95D7-E12F-48FA-A858-D8D5471A1C8D}" type="parTrans" cxnId="{3E3C9301-71D8-4904-93B7-5A952960479B}">
      <dgm:prSet/>
      <dgm:spPr/>
      <dgm:t>
        <a:bodyPr/>
        <a:lstStyle/>
        <a:p>
          <a:endParaRPr lang="en-GB"/>
        </a:p>
      </dgm:t>
    </dgm:pt>
    <dgm:pt modelId="{D82E9A03-518E-45F7-8374-C99621D6D8D8}" type="sibTrans" cxnId="{3E3C9301-71D8-4904-93B7-5A952960479B}">
      <dgm:prSet/>
      <dgm:spPr/>
      <dgm:t>
        <a:bodyPr/>
        <a:lstStyle/>
        <a:p>
          <a:endParaRPr lang="en-GB"/>
        </a:p>
      </dgm:t>
    </dgm:pt>
    <dgm:pt modelId="{FDC644C3-ABD0-4238-8EC4-277A70201FD8}">
      <dgm:prSet phldrT="[Text]"/>
      <dgm:spPr/>
      <dgm:t>
        <a:bodyPr/>
        <a:lstStyle/>
        <a:p>
          <a:r>
            <a:rPr lang="en-GB"/>
            <a:t>Open up the market to a wider range of providers</a:t>
          </a:r>
        </a:p>
      </dgm:t>
    </dgm:pt>
    <dgm:pt modelId="{084114CD-64EB-4070-A18E-952D2B1D99E7}" type="parTrans" cxnId="{0AFE6D10-CC19-4679-8DD7-150BF571C801}">
      <dgm:prSet/>
      <dgm:spPr/>
      <dgm:t>
        <a:bodyPr/>
        <a:lstStyle/>
        <a:p>
          <a:endParaRPr lang="en-GB"/>
        </a:p>
      </dgm:t>
    </dgm:pt>
    <dgm:pt modelId="{2F9B1975-72B8-4102-B53B-2DC9BCFE4717}" type="sibTrans" cxnId="{0AFE6D10-CC19-4679-8DD7-150BF571C801}">
      <dgm:prSet/>
      <dgm:spPr/>
      <dgm:t>
        <a:bodyPr/>
        <a:lstStyle/>
        <a:p>
          <a:endParaRPr lang="en-GB"/>
        </a:p>
      </dgm:t>
    </dgm:pt>
    <dgm:pt modelId="{75C064CB-2D48-46CD-8FC3-6B9A4FCCA1A1}">
      <dgm:prSet phldrT="[Text]"/>
      <dgm:spPr/>
      <dgm:t>
        <a:bodyPr/>
        <a:lstStyle/>
        <a:p>
          <a:r>
            <a:rPr lang="en-GB" b="1">
              <a:solidFill>
                <a:sysClr val="windowText" lastClr="000000"/>
              </a:solidFill>
            </a:rPr>
            <a:t>Research agenda</a:t>
          </a:r>
        </a:p>
        <a:p>
          <a:r>
            <a:rPr lang="en-GB" b="1">
              <a:solidFill>
                <a:sysClr val="windowText" lastClr="000000"/>
              </a:solidFill>
            </a:rPr>
            <a:t>Evidence linking change with enhanced teacher quality</a:t>
          </a:r>
        </a:p>
      </dgm:t>
    </dgm:pt>
    <dgm:pt modelId="{37B6AB52-174E-47F3-AD26-54F5347D1602}" type="parTrans" cxnId="{AF176B8F-82E9-4B0E-AD21-2463C86056B4}">
      <dgm:prSet/>
      <dgm:spPr/>
      <dgm:t>
        <a:bodyPr/>
        <a:lstStyle/>
        <a:p>
          <a:endParaRPr lang="en-GB"/>
        </a:p>
      </dgm:t>
    </dgm:pt>
    <dgm:pt modelId="{BB99961A-8C47-48EC-8F6A-FBC811DE553C}" type="sibTrans" cxnId="{AF176B8F-82E9-4B0E-AD21-2463C86056B4}">
      <dgm:prSet/>
      <dgm:spPr/>
      <dgm:t>
        <a:bodyPr/>
        <a:lstStyle/>
        <a:p>
          <a:endParaRPr lang="en-GB"/>
        </a:p>
      </dgm:t>
    </dgm:pt>
    <dgm:pt modelId="{FA473975-9DA5-4648-AEE5-D621F22C0EA3}">
      <dgm:prSet phldrT="[Text]"/>
      <dgm:spPr/>
      <dgm:t>
        <a:bodyPr/>
        <a:lstStyle/>
        <a:p>
          <a:r>
            <a:rPr lang="en-GB"/>
            <a:t>How (different types of) preparation add value to teacher effectiveness</a:t>
          </a:r>
        </a:p>
      </dgm:t>
    </dgm:pt>
    <dgm:pt modelId="{31DE406D-DB77-4305-80C9-53D13A8BD46B}" type="parTrans" cxnId="{4E66378F-4134-4E2F-ABE4-7B94ACB3ECEC}">
      <dgm:prSet/>
      <dgm:spPr/>
      <dgm:t>
        <a:bodyPr/>
        <a:lstStyle/>
        <a:p>
          <a:endParaRPr lang="en-GB"/>
        </a:p>
      </dgm:t>
    </dgm:pt>
    <dgm:pt modelId="{27256AB0-04D3-48BE-B2BB-6410EA5BE2EB}" type="sibTrans" cxnId="{4E66378F-4134-4E2F-ABE4-7B94ACB3ECEC}">
      <dgm:prSet/>
      <dgm:spPr/>
      <dgm:t>
        <a:bodyPr/>
        <a:lstStyle/>
        <a:p>
          <a:endParaRPr lang="en-GB"/>
        </a:p>
      </dgm:t>
    </dgm:pt>
    <dgm:pt modelId="{666E2322-700D-4C2B-87CD-6A66FE21332C}">
      <dgm:prSet/>
      <dgm:spPr/>
      <dgm:t>
        <a:bodyPr/>
        <a:lstStyle/>
        <a:p>
          <a:r>
            <a:rPr lang="en-GB"/>
            <a:t>Teacher supply/ workforce planning, especially when coupled with hard-to-staff schools</a:t>
          </a:r>
        </a:p>
      </dgm:t>
    </dgm:pt>
    <dgm:pt modelId="{647FE284-7B6E-4D32-818B-FAEEE87D3C04}" type="parTrans" cxnId="{3553CF94-9AE7-4CAA-ADAB-DF702CF26B56}">
      <dgm:prSet/>
      <dgm:spPr/>
      <dgm:t>
        <a:bodyPr/>
        <a:lstStyle/>
        <a:p>
          <a:endParaRPr lang="en-GB"/>
        </a:p>
      </dgm:t>
    </dgm:pt>
    <dgm:pt modelId="{5FA40161-9726-4099-9783-784B421EE1FB}" type="sibTrans" cxnId="{3553CF94-9AE7-4CAA-ADAB-DF702CF26B56}">
      <dgm:prSet/>
      <dgm:spPr/>
      <dgm:t>
        <a:bodyPr/>
        <a:lstStyle/>
        <a:p>
          <a:endParaRPr lang="en-GB"/>
        </a:p>
      </dgm:t>
    </dgm:pt>
    <dgm:pt modelId="{4C6FAA9D-DE74-47F8-8981-53E1E6D7B2B0}">
      <dgm:prSet phldrT="[Text]"/>
      <dgm:spPr/>
      <dgm:t>
        <a:bodyPr/>
        <a:lstStyle/>
        <a:p>
          <a:r>
            <a:rPr lang="en-GB"/>
            <a:t>Relevance, practical experience at the chalk face</a:t>
          </a:r>
        </a:p>
      </dgm:t>
    </dgm:pt>
    <dgm:pt modelId="{220CF898-4BB3-4A91-81FE-74FC973A3561}" type="parTrans" cxnId="{B4FCD854-6390-4707-AE34-CAFFBEB0804E}">
      <dgm:prSet/>
      <dgm:spPr/>
      <dgm:t>
        <a:bodyPr/>
        <a:lstStyle/>
        <a:p>
          <a:endParaRPr lang="en-GB"/>
        </a:p>
      </dgm:t>
    </dgm:pt>
    <dgm:pt modelId="{B63293F4-D3C1-4E91-B016-9F86B488AF20}" type="sibTrans" cxnId="{B4FCD854-6390-4707-AE34-CAFFBEB0804E}">
      <dgm:prSet/>
      <dgm:spPr/>
      <dgm:t>
        <a:bodyPr/>
        <a:lstStyle/>
        <a:p>
          <a:endParaRPr lang="en-GB"/>
        </a:p>
      </dgm:t>
    </dgm:pt>
    <dgm:pt modelId="{A56F0000-370D-4BFF-9F34-75C6A7BB1182}">
      <dgm:prSet phldrT="[Text]"/>
      <dgm:spPr/>
      <dgm:t>
        <a:bodyPr/>
        <a:lstStyle/>
        <a:p>
          <a:r>
            <a:rPr lang="en-GB"/>
            <a:t>Unaccountable teacher educator/university Schools of Education</a:t>
          </a:r>
        </a:p>
      </dgm:t>
    </dgm:pt>
    <dgm:pt modelId="{95E46DD6-D4BB-454F-90A0-895FD7074BCC}" type="parTrans" cxnId="{904FAD38-6206-49DE-934F-CECAC6C4904E}">
      <dgm:prSet/>
      <dgm:spPr/>
      <dgm:t>
        <a:bodyPr/>
        <a:lstStyle/>
        <a:p>
          <a:endParaRPr lang="en-GB"/>
        </a:p>
      </dgm:t>
    </dgm:pt>
    <dgm:pt modelId="{BEA35108-1CEF-41AC-9EBE-E949AB14B65F}" type="sibTrans" cxnId="{904FAD38-6206-49DE-934F-CECAC6C4904E}">
      <dgm:prSet/>
      <dgm:spPr/>
      <dgm:t>
        <a:bodyPr/>
        <a:lstStyle/>
        <a:p>
          <a:endParaRPr lang="en-GB"/>
        </a:p>
      </dgm:t>
    </dgm:pt>
    <dgm:pt modelId="{2840550E-5B3C-4842-8EC0-51101E77737A}">
      <dgm:prSet phldrT="[Text]"/>
      <dgm:spPr/>
      <dgm:t>
        <a:bodyPr/>
        <a:lstStyle/>
        <a:p>
          <a:r>
            <a:rPr lang="en-GB"/>
            <a:t>Effects of </a:t>
          </a:r>
          <a:r>
            <a:rPr lang="en-GB" i="0"/>
            <a:t>pathways, programs, routes (value added modelling, multiple regression analysis to explore pathways and outcomes)</a:t>
          </a:r>
        </a:p>
      </dgm:t>
    </dgm:pt>
    <dgm:pt modelId="{5B5926DD-8BAD-4DEA-84CC-23FC9F0116E8}" type="parTrans" cxnId="{629358B5-5028-4500-9E02-A247ACB5965E}">
      <dgm:prSet/>
      <dgm:spPr/>
      <dgm:t>
        <a:bodyPr/>
        <a:lstStyle/>
        <a:p>
          <a:endParaRPr lang="en-GB"/>
        </a:p>
      </dgm:t>
    </dgm:pt>
    <dgm:pt modelId="{5CF14D10-4F04-4E9B-BC2A-3D3C332DBD6D}" type="sibTrans" cxnId="{629358B5-5028-4500-9E02-A247ACB5965E}">
      <dgm:prSet/>
      <dgm:spPr/>
      <dgm:t>
        <a:bodyPr/>
        <a:lstStyle/>
        <a:p>
          <a:endParaRPr lang="en-GB"/>
        </a:p>
      </dgm:t>
    </dgm:pt>
    <dgm:pt modelId="{A7E1A06E-6B03-4099-9D8B-9D39C9A391BE}">
      <dgm:prSet phldrT="[Text]"/>
      <dgm:spPr/>
      <dgm:t>
        <a:bodyPr/>
        <a:lstStyle/>
        <a:p>
          <a:r>
            <a:rPr lang="en-GB"/>
            <a:t>Core content for ITE curriculum</a:t>
          </a:r>
        </a:p>
      </dgm:t>
    </dgm:pt>
    <dgm:pt modelId="{BD343F1B-A2B3-44E8-9761-2ABD380AEE90}" type="parTrans" cxnId="{6F0250CC-892E-46EB-9F42-6A2B37FA4FD2}">
      <dgm:prSet/>
      <dgm:spPr/>
      <dgm:t>
        <a:bodyPr/>
        <a:lstStyle/>
        <a:p>
          <a:endParaRPr lang="en-GB"/>
        </a:p>
      </dgm:t>
    </dgm:pt>
    <dgm:pt modelId="{E301A1CA-5818-4EE1-8420-1E12D54D8646}" type="sibTrans" cxnId="{6F0250CC-892E-46EB-9F42-6A2B37FA4FD2}">
      <dgm:prSet/>
      <dgm:spPr/>
      <dgm:t>
        <a:bodyPr/>
        <a:lstStyle/>
        <a:p>
          <a:endParaRPr lang="en-GB"/>
        </a:p>
      </dgm:t>
    </dgm:pt>
    <dgm:pt modelId="{50D9DEE1-1CA7-4430-8F2E-BB515E4A6831}">
      <dgm:prSet phldrT="[Text]"/>
      <dgm:spPr/>
      <dgm:t>
        <a:bodyPr/>
        <a:lstStyle/>
        <a:p>
          <a:r>
            <a:rPr lang="en-GB"/>
            <a:t>More time in school, in-the-field evaluations</a:t>
          </a:r>
        </a:p>
      </dgm:t>
    </dgm:pt>
    <dgm:pt modelId="{56733EF5-9197-479A-AABB-723E4669F7F0}" type="parTrans" cxnId="{4CBFDDE2-2F34-4A52-925C-2B20E5ACDE7D}">
      <dgm:prSet/>
      <dgm:spPr/>
      <dgm:t>
        <a:bodyPr/>
        <a:lstStyle/>
        <a:p>
          <a:endParaRPr lang="en-GB"/>
        </a:p>
      </dgm:t>
    </dgm:pt>
    <dgm:pt modelId="{45E7A61A-09EC-4FE7-8AA2-0408BF687FE3}" type="sibTrans" cxnId="{4CBFDDE2-2F34-4A52-925C-2B20E5ACDE7D}">
      <dgm:prSet/>
      <dgm:spPr/>
      <dgm:t>
        <a:bodyPr/>
        <a:lstStyle/>
        <a:p>
          <a:endParaRPr lang="en-GB"/>
        </a:p>
      </dgm:t>
    </dgm:pt>
    <dgm:pt modelId="{C42D344B-32DF-47C9-B590-1385A17AAB97}">
      <dgm:prSet phldrT="[Text]"/>
      <dgm:spPr/>
      <dgm:t>
        <a:bodyPr/>
        <a:lstStyle/>
        <a:p>
          <a:r>
            <a:rPr lang="en-GB"/>
            <a:t>Recruitment incentives</a:t>
          </a:r>
        </a:p>
      </dgm:t>
    </dgm:pt>
    <dgm:pt modelId="{39C8B7EE-D4E2-4CB8-87C4-60BF2BC39E33}" type="parTrans" cxnId="{BADC15E5-AE97-451A-8485-292A15AD8733}">
      <dgm:prSet/>
      <dgm:spPr/>
      <dgm:t>
        <a:bodyPr/>
        <a:lstStyle/>
        <a:p>
          <a:endParaRPr lang="en-GB"/>
        </a:p>
      </dgm:t>
    </dgm:pt>
    <dgm:pt modelId="{2F54C22A-05F7-4271-9E0C-777144064A9B}" type="sibTrans" cxnId="{BADC15E5-AE97-451A-8485-292A15AD8733}">
      <dgm:prSet/>
      <dgm:spPr/>
      <dgm:t>
        <a:bodyPr/>
        <a:lstStyle/>
        <a:p>
          <a:endParaRPr lang="en-GB"/>
        </a:p>
      </dgm:t>
    </dgm:pt>
    <dgm:pt modelId="{0B94882C-A869-4EC2-9761-8B1A3A68F30C}">
      <dgm:prSet phldrT="[Text]"/>
      <dgm:spPr/>
      <dgm:t>
        <a:bodyPr/>
        <a:lstStyle/>
        <a:p>
          <a:endParaRPr lang="en-GB"/>
        </a:p>
      </dgm:t>
    </dgm:pt>
    <dgm:pt modelId="{5A39D839-9E57-465A-92F7-CA8DF1CE83FC}" type="parTrans" cxnId="{1005F250-C7C4-47EE-BFCA-8E5A82A4222A}">
      <dgm:prSet/>
      <dgm:spPr/>
      <dgm:t>
        <a:bodyPr/>
        <a:lstStyle/>
        <a:p>
          <a:endParaRPr lang="en-GB"/>
        </a:p>
      </dgm:t>
    </dgm:pt>
    <dgm:pt modelId="{C52C6B15-FA16-4DE4-B05F-0B77DB96AA3C}" type="sibTrans" cxnId="{1005F250-C7C4-47EE-BFCA-8E5A82A4222A}">
      <dgm:prSet/>
      <dgm:spPr/>
      <dgm:t>
        <a:bodyPr/>
        <a:lstStyle/>
        <a:p>
          <a:endParaRPr lang="en-GB"/>
        </a:p>
      </dgm:t>
    </dgm:pt>
    <dgm:pt modelId="{C5738CC5-7EF1-4E0F-BC19-41D7392DD31A}">
      <dgm:prSet phldrT="[Text]"/>
      <dgm:spPr/>
      <dgm:t>
        <a:bodyPr/>
        <a:lstStyle/>
        <a:p>
          <a:r>
            <a:rPr lang="en-GB" i="0"/>
            <a:t>Employment data</a:t>
          </a:r>
        </a:p>
      </dgm:t>
    </dgm:pt>
    <dgm:pt modelId="{B161BC00-B101-4531-86C1-7E6F8A81DDF0}" type="parTrans" cxnId="{757116A0-B649-4D61-A489-75408D90517E}">
      <dgm:prSet/>
      <dgm:spPr/>
      <dgm:t>
        <a:bodyPr/>
        <a:lstStyle/>
        <a:p>
          <a:endParaRPr lang="en-GB"/>
        </a:p>
      </dgm:t>
    </dgm:pt>
    <dgm:pt modelId="{A6DAB225-FBA4-4068-8986-40F0EA20A1B4}" type="sibTrans" cxnId="{757116A0-B649-4D61-A489-75408D90517E}">
      <dgm:prSet/>
      <dgm:spPr/>
      <dgm:t>
        <a:bodyPr/>
        <a:lstStyle/>
        <a:p>
          <a:endParaRPr lang="en-GB"/>
        </a:p>
      </dgm:t>
    </dgm:pt>
    <dgm:pt modelId="{5F8CF7B3-CD6D-4ABF-B436-2414BD8B27FA}">
      <dgm:prSet phldrT="[Text]"/>
      <dgm:spPr/>
      <dgm:t>
        <a:bodyPr/>
        <a:lstStyle/>
        <a:p>
          <a:r>
            <a:rPr lang="en-GB" i="0"/>
            <a:t> NQT &amp; employer assessments of quality of preparation</a:t>
          </a:r>
        </a:p>
      </dgm:t>
    </dgm:pt>
    <dgm:pt modelId="{C49CDDB3-CC0F-4FD0-ADF0-AF55AB289268}" type="parTrans" cxnId="{CB94B4C0-668F-45A9-BFF8-1E06D6904F1E}">
      <dgm:prSet/>
      <dgm:spPr/>
      <dgm:t>
        <a:bodyPr/>
        <a:lstStyle/>
        <a:p>
          <a:endParaRPr lang="en-GB"/>
        </a:p>
      </dgm:t>
    </dgm:pt>
    <dgm:pt modelId="{B9E5192A-8DC2-41DB-98D2-B7DD0DD14B76}" type="sibTrans" cxnId="{CB94B4C0-668F-45A9-BFF8-1E06D6904F1E}">
      <dgm:prSet/>
      <dgm:spPr/>
      <dgm:t>
        <a:bodyPr/>
        <a:lstStyle/>
        <a:p>
          <a:endParaRPr lang="en-GB"/>
        </a:p>
      </dgm:t>
    </dgm:pt>
    <dgm:pt modelId="{767E7EDB-859F-4181-BD94-B09612559644}">
      <dgm:prSet phldrT="[Text]"/>
      <dgm:spPr/>
      <dgm:t>
        <a:bodyPr/>
        <a:lstStyle/>
        <a:p>
          <a:r>
            <a:rPr lang="en-GB"/>
            <a:t>Reporting requirements to monitor compliance </a:t>
          </a:r>
        </a:p>
      </dgm:t>
    </dgm:pt>
    <dgm:pt modelId="{B9C7D090-C2E9-40F6-9812-F60E0E5EFBA0}" type="parTrans" cxnId="{9A51EF01-570E-4642-9219-C1A61602047C}">
      <dgm:prSet/>
      <dgm:spPr/>
      <dgm:t>
        <a:bodyPr/>
        <a:lstStyle/>
        <a:p>
          <a:endParaRPr lang="en-GB"/>
        </a:p>
      </dgm:t>
    </dgm:pt>
    <dgm:pt modelId="{B0969D7A-353F-4DA0-8654-D8E04E03DA82}" type="sibTrans" cxnId="{9A51EF01-570E-4642-9219-C1A61602047C}">
      <dgm:prSet/>
      <dgm:spPr/>
      <dgm:t>
        <a:bodyPr/>
        <a:lstStyle/>
        <a:p>
          <a:endParaRPr lang="en-GB"/>
        </a:p>
      </dgm:t>
    </dgm:pt>
    <dgm:pt modelId="{C882B863-4037-4492-992E-BC4076C1E30A}">
      <dgm:prSet phldrT="[Text]"/>
      <dgm:spPr/>
      <dgm:t>
        <a:bodyPr/>
        <a:lstStyle/>
        <a:p>
          <a:r>
            <a:rPr lang="en-GB"/>
            <a:t>Inspection </a:t>
          </a:r>
        </a:p>
      </dgm:t>
    </dgm:pt>
    <dgm:pt modelId="{7685642F-C501-4363-A267-6E4025D9BDA1}" type="parTrans" cxnId="{632BF64B-3B7E-4DBB-BB2A-2BEB9148B0FA}">
      <dgm:prSet/>
      <dgm:spPr/>
      <dgm:t>
        <a:bodyPr/>
        <a:lstStyle/>
        <a:p>
          <a:endParaRPr lang="en-GB"/>
        </a:p>
      </dgm:t>
    </dgm:pt>
    <dgm:pt modelId="{6ECAF949-CE27-4041-BD4D-B6865954E6F5}" type="sibTrans" cxnId="{632BF64B-3B7E-4DBB-BB2A-2BEB9148B0FA}">
      <dgm:prSet/>
      <dgm:spPr/>
      <dgm:t>
        <a:bodyPr/>
        <a:lstStyle/>
        <a:p>
          <a:endParaRPr lang="en-GB"/>
        </a:p>
      </dgm:t>
    </dgm:pt>
    <dgm:pt modelId="{271A323D-55B9-4463-B823-E6B4B7B81196}">
      <dgm:prSet phldrT="[Text]"/>
      <dgm:spPr/>
      <dgm:t>
        <a:bodyPr/>
        <a:lstStyle/>
        <a:p>
          <a:r>
            <a:rPr lang="en-GB"/>
            <a:t>Focus on programme inputs </a:t>
          </a:r>
          <a:r>
            <a:rPr lang="en-GB" i="1"/>
            <a:t>and</a:t>
          </a:r>
          <a:r>
            <a:rPr lang="en-GB"/>
            <a:t> outcomes data</a:t>
          </a:r>
        </a:p>
      </dgm:t>
    </dgm:pt>
    <dgm:pt modelId="{CCACFACC-2127-4E34-9DFA-80A616978801}" type="parTrans" cxnId="{666165CB-C6F3-4D98-8E62-BB0D866091A8}">
      <dgm:prSet/>
      <dgm:spPr/>
      <dgm:t>
        <a:bodyPr/>
        <a:lstStyle/>
        <a:p>
          <a:endParaRPr lang="en-GB"/>
        </a:p>
      </dgm:t>
    </dgm:pt>
    <dgm:pt modelId="{C968192E-2774-4BB8-B675-3695109EE945}" type="sibTrans" cxnId="{666165CB-C6F3-4D98-8E62-BB0D866091A8}">
      <dgm:prSet/>
      <dgm:spPr/>
      <dgm:t>
        <a:bodyPr/>
        <a:lstStyle/>
        <a:p>
          <a:endParaRPr lang="en-GB"/>
        </a:p>
      </dgm:t>
    </dgm:pt>
    <dgm:pt modelId="{A3F79CC4-7044-4481-9817-1110A0D0DE23}">
      <dgm:prSet phldrT="[Text]"/>
      <dgm:spPr/>
      <dgm:t>
        <a:bodyPr/>
        <a:lstStyle/>
        <a:p>
          <a:r>
            <a:rPr lang="en-GB" i="0"/>
            <a:t>Actionable evidence? Supporting programme improvement</a:t>
          </a:r>
        </a:p>
      </dgm:t>
    </dgm:pt>
    <dgm:pt modelId="{5D259737-18AC-4C4C-87C8-F93250611CC0}" type="parTrans" cxnId="{73E522C4-4726-40ED-BB40-78B8BD54377A}">
      <dgm:prSet/>
      <dgm:spPr/>
      <dgm:t>
        <a:bodyPr/>
        <a:lstStyle/>
        <a:p>
          <a:endParaRPr lang="en-GB"/>
        </a:p>
      </dgm:t>
    </dgm:pt>
    <dgm:pt modelId="{EC678DC8-7FC3-47FC-A563-7C311576D3DC}" type="sibTrans" cxnId="{73E522C4-4726-40ED-BB40-78B8BD54377A}">
      <dgm:prSet/>
      <dgm:spPr/>
      <dgm:t>
        <a:bodyPr/>
        <a:lstStyle/>
        <a:p>
          <a:endParaRPr lang="en-GB"/>
        </a:p>
      </dgm:t>
    </dgm:pt>
    <dgm:pt modelId="{D2AE5D21-A34A-4BD9-9A63-F02C38D2C2AA}">
      <dgm:prSet phldrT="[Text]"/>
      <dgm:spPr/>
      <dgm:t>
        <a:bodyPr/>
        <a:lstStyle/>
        <a:p>
          <a:r>
            <a:rPr lang="en-GB"/>
            <a:t>Content of university programmes</a:t>
          </a:r>
        </a:p>
      </dgm:t>
    </dgm:pt>
    <dgm:pt modelId="{2C2B17F5-8E41-444C-8FD9-331000FCD206}" type="parTrans" cxnId="{7DB6A803-B60F-4091-818F-A1E40351F3C3}">
      <dgm:prSet/>
      <dgm:spPr/>
      <dgm:t>
        <a:bodyPr/>
        <a:lstStyle/>
        <a:p>
          <a:endParaRPr lang="en-GB"/>
        </a:p>
      </dgm:t>
    </dgm:pt>
    <dgm:pt modelId="{3898A9C4-DA52-409E-B59D-D26EA8EF1805}" type="sibTrans" cxnId="{7DB6A803-B60F-4091-818F-A1E40351F3C3}">
      <dgm:prSet/>
      <dgm:spPr/>
      <dgm:t>
        <a:bodyPr/>
        <a:lstStyle/>
        <a:p>
          <a:endParaRPr lang="en-GB"/>
        </a:p>
      </dgm:t>
    </dgm:pt>
    <dgm:pt modelId="{E5FFBDEF-73B5-48F4-8B90-AA16B30E0809}" type="pres">
      <dgm:prSet presAssocID="{E4BC31CA-615B-4267-81D6-7CB8656D1AF7}" presName="Name0" presStyleCnt="0">
        <dgm:presLayoutVars>
          <dgm:dir/>
          <dgm:animLvl val="lvl"/>
          <dgm:resizeHandles val="exact"/>
        </dgm:presLayoutVars>
      </dgm:prSet>
      <dgm:spPr/>
      <dgm:t>
        <a:bodyPr/>
        <a:lstStyle/>
        <a:p>
          <a:endParaRPr lang="en-GB"/>
        </a:p>
      </dgm:t>
    </dgm:pt>
    <dgm:pt modelId="{974CB47E-CD51-4208-B03D-5C21A7C5FA52}" type="pres">
      <dgm:prSet presAssocID="{22D03300-8727-4FDA-8873-9BF2006E4DE7}" presName="composite" presStyleCnt="0"/>
      <dgm:spPr/>
    </dgm:pt>
    <dgm:pt modelId="{4589BC82-B294-43C1-9381-0A815A7BCC20}" type="pres">
      <dgm:prSet presAssocID="{22D03300-8727-4FDA-8873-9BF2006E4DE7}" presName="parTx" presStyleLbl="alignNode1" presStyleIdx="0" presStyleCnt="3">
        <dgm:presLayoutVars>
          <dgm:chMax val="0"/>
          <dgm:chPref val="0"/>
          <dgm:bulletEnabled val="1"/>
        </dgm:presLayoutVars>
      </dgm:prSet>
      <dgm:spPr/>
      <dgm:t>
        <a:bodyPr/>
        <a:lstStyle/>
        <a:p>
          <a:endParaRPr lang="en-GB"/>
        </a:p>
      </dgm:t>
    </dgm:pt>
    <dgm:pt modelId="{F8FAEDE8-66B0-42C4-A809-BD3FE906B02E}" type="pres">
      <dgm:prSet presAssocID="{22D03300-8727-4FDA-8873-9BF2006E4DE7}" presName="desTx" presStyleLbl="alignAccFollowNode1" presStyleIdx="0" presStyleCnt="3">
        <dgm:presLayoutVars>
          <dgm:bulletEnabled val="1"/>
        </dgm:presLayoutVars>
      </dgm:prSet>
      <dgm:spPr/>
      <dgm:t>
        <a:bodyPr/>
        <a:lstStyle/>
        <a:p>
          <a:endParaRPr lang="en-GB"/>
        </a:p>
      </dgm:t>
    </dgm:pt>
    <dgm:pt modelId="{E4BD4E35-2389-47C8-99D6-231517147552}" type="pres">
      <dgm:prSet presAssocID="{8AA54465-284D-4B3A-87D4-7CE2099627ED}" presName="space" presStyleCnt="0"/>
      <dgm:spPr/>
    </dgm:pt>
    <dgm:pt modelId="{65968AC3-4F8F-4A50-8618-188B400AF3BA}" type="pres">
      <dgm:prSet presAssocID="{F08EDCAC-D149-4454-9EDE-BE8FBC1D3A1E}" presName="composite" presStyleCnt="0"/>
      <dgm:spPr/>
    </dgm:pt>
    <dgm:pt modelId="{0FD89E45-BE88-4C7C-80F3-257A7B1DD1DB}" type="pres">
      <dgm:prSet presAssocID="{F08EDCAC-D149-4454-9EDE-BE8FBC1D3A1E}" presName="parTx" presStyleLbl="alignNode1" presStyleIdx="1" presStyleCnt="3">
        <dgm:presLayoutVars>
          <dgm:chMax val="0"/>
          <dgm:chPref val="0"/>
          <dgm:bulletEnabled val="1"/>
        </dgm:presLayoutVars>
      </dgm:prSet>
      <dgm:spPr/>
      <dgm:t>
        <a:bodyPr/>
        <a:lstStyle/>
        <a:p>
          <a:endParaRPr lang="en-GB"/>
        </a:p>
      </dgm:t>
    </dgm:pt>
    <dgm:pt modelId="{3471C0DB-13FB-4002-AE88-1A7FABA171E0}" type="pres">
      <dgm:prSet presAssocID="{F08EDCAC-D149-4454-9EDE-BE8FBC1D3A1E}" presName="desTx" presStyleLbl="alignAccFollowNode1" presStyleIdx="1" presStyleCnt="3">
        <dgm:presLayoutVars>
          <dgm:bulletEnabled val="1"/>
        </dgm:presLayoutVars>
      </dgm:prSet>
      <dgm:spPr/>
      <dgm:t>
        <a:bodyPr/>
        <a:lstStyle/>
        <a:p>
          <a:endParaRPr lang="en-GB"/>
        </a:p>
      </dgm:t>
    </dgm:pt>
    <dgm:pt modelId="{AE24F2E3-965A-489B-BC5A-C53517735A52}" type="pres">
      <dgm:prSet presAssocID="{D82E9A03-518E-45F7-8374-C99621D6D8D8}" presName="space" presStyleCnt="0"/>
      <dgm:spPr/>
    </dgm:pt>
    <dgm:pt modelId="{1B1FF616-5E3A-4AB7-BCE5-7EBF3E3213E4}" type="pres">
      <dgm:prSet presAssocID="{75C064CB-2D48-46CD-8FC3-6B9A4FCCA1A1}" presName="composite" presStyleCnt="0"/>
      <dgm:spPr/>
    </dgm:pt>
    <dgm:pt modelId="{F8CD3523-17D5-4A5C-8F3C-4465A2224926}" type="pres">
      <dgm:prSet presAssocID="{75C064CB-2D48-46CD-8FC3-6B9A4FCCA1A1}" presName="parTx" presStyleLbl="alignNode1" presStyleIdx="2" presStyleCnt="3">
        <dgm:presLayoutVars>
          <dgm:chMax val="0"/>
          <dgm:chPref val="0"/>
          <dgm:bulletEnabled val="1"/>
        </dgm:presLayoutVars>
      </dgm:prSet>
      <dgm:spPr/>
      <dgm:t>
        <a:bodyPr/>
        <a:lstStyle/>
        <a:p>
          <a:endParaRPr lang="en-GB"/>
        </a:p>
      </dgm:t>
    </dgm:pt>
    <dgm:pt modelId="{C6E561BF-1B54-4DD7-B887-5BF5EDF27FB2}" type="pres">
      <dgm:prSet presAssocID="{75C064CB-2D48-46CD-8FC3-6B9A4FCCA1A1}" presName="desTx" presStyleLbl="alignAccFollowNode1" presStyleIdx="2" presStyleCnt="3">
        <dgm:presLayoutVars>
          <dgm:bulletEnabled val="1"/>
        </dgm:presLayoutVars>
      </dgm:prSet>
      <dgm:spPr/>
      <dgm:t>
        <a:bodyPr/>
        <a:lstStyle/>
        <a:p>
          <a:endParaRPr lang="en-GB"/>
        </a:p>
      </dgm:t>
    </dgm:pt>
  </dgm:ptLst>
  <dgm:cxnLst>
    <dgm:cxn modelId="{18D808AC-246B-494F-BFEB-4F03A3FAC9A4}" type="presOf" srcId="{767E7EDB-859F-4181-BD94-B09612559644}" destId="{3471C0DB-13FB-4002-AE88-1A7FABA171E0}" srcOrd="0" destOrd="5" presId="urn:microsoft.com/office/officeart/2005/8/layout/hList1"/>
    <dgm:cxn modelId="{6F0250CC-892E-46EB-9F42-6A2B37FA4FD2}" srcId="{F08EDCAC-D149-4454-9EDE-BE8FBC1D3A1E}" destId="{A7E1A06E-6B03-4099-9D8B-9D39C9A391BE}" srcOrd="2" destOrd="0" parTransId="{BD343F1B-A2B3-44E8-9761-2ABD380AEE90}" sibTransId="{E301A1CA-5818-4EE1-8420-1E12D54D8646}"/>
    <dgm:cxn modelId="{629358B5-5028-4500-9E02-A247ACB5965E}" srcId="{75C064CB-2D48-46CD-8FC3-6B9A4FCCA1A1}" destId="{2840550E-5B3C-4842-8EC0-51101E77737A}" srcOrd="1" destOrd="0" parTransId="{5B5926DD-8BAD-4DEA-84CC-23FC9F0116E8}" sibTransId="{5CF14D10-4F04-4E9B-BC2A-3D3C332DBD6D}"/>
    <dgm:cxn modelId="{D6899CD7-F62B-42DC-A148-8B81EC740FF2}" type="presOf" srcId="{50D9DEE1-1CA7-4430-8F2E-BB515E4A6831}" destId="{3471C0DB-13FB-4002-AE88-1A7FABA171E0}" srcOrd="0" destOrd="3" presId="urn:microsoft.com/office/officeart/2005/8/layout/hList1"/>
    <dgm:cxn modelId="{C4A71F9B-A79C-4EEB-8145-8F1AAB6DFE38}" type="presOf" srcId="{FDC644C3-ABD0-4238-8EC4-277A70201FD8}" destId="{3471C0DB-13FB-4002-AE88-1A7FABA171E0}" srcOrd="0" destOrd="0" presId="urn:microsoft.com/office/officeart/2005/8/layout/hList1"/>
    <dgm:cxn modelId="{0AFE6D10-CC19-4679-8DD7-150BF571C801}" srcId="{F08EDCAC-D149-4454-9EDE-BE8FBC1D3A1E}" destId="{FDC644C3-ABD0-4238-8EC4-277A70201FD8}" srcOrd="0" destOrd="0" parTransId="{084114CD-64EB-4070-A18E-952D2B1D99E7}" sibTransId="{2F9B1975-72B8-4102-B53B-2DC9BCFE4717}"/>
    <dgm:cxn modelId="{DCD1CB30-09A8-4347-A972-F86DD90DBCCF}" type="presOf" srcId="{666E2322-700D-4C2B-87CD-6A66FE21332C}" destId="{F8FAEDE8-66B0-42C4-A809-BD3FE906B02E}" srcOrd="0" destOrd="3" presId="urn:microsoft.com/office/officeart/2005/8/layout/hList1"/>
    <dgm:cxn modelId="{BADC15E5-AE97-451A-8485-292A15AD8733}" srcId="{F08EDCAC-D149-4454-9EDE-BE8FBC1D3A1E}" destId="{C42D344B-32DF-47C9-B590-1385A17AAB97}" srcOrd="4" destOrd="0" parTransId="{39C8B7EE-D4E2-4CB8-87C4-60BF2BC39E33}" sibTransId="{2F54C22A-05F7-4271-9E0C-777144064A9B}"/>
    <dgm:cxn modelId="{4CBFDDE2-2F34-4A52-925C-2B20E5ACDE7D}" srcId="{F08EDCAC-D149-4454-9EDE-BE8FBC1D3A1E}" destId="{50D9DEE1-1CA7-4430-8F2E-BB515E4A6831}" srcOrd="3" destOrd="0" parTransId="{56733EF5-9197-479A-AABB-723E4669F7F0}" sibTransId="{45E7A61A-09EC-4FE7-8AA2-0408BF687FE3}"/>
    <dgm:cxn modelId="{2E1BB9F5-AE6A-429D-BEC7-F43F1F7F0F84}" type="presOf" srcId="{0B94882C-A869-4EC2-9761-8B1A3A68F30C}" destId="{3471C0DB-13FB-4002-AE88-1A7FABA171E0}" srcOrd="0" destOrd="7" presId="urn:microsoft.com/office/officeart/2005/8/layout/hList1"/>
    <dgm:cxn modelId="{3E3C9301-71D8-4904-93B7-5A952960479B}" srcId="{E4BC31CA-615B-4267-81D6-7CB8656D1AF7}" destId="{F08EDCAC-D149-4454-9EDE-BE8FBC1D3A1E}" srcOrd="1" destOrd="0" parTransId="{E92F95D7-E12F-48FA-A858-D8D5471A1C8D}" sibTransId="{D82E9A03-518E-45F7-8374-C99621D6D8D8}"/>
    <dgm:cxn modelId="{9A74AE0A-64AB-4AB1-AB5D-3117794B489A}" type="presOf" srcId="{22D03300-8727-4FDA-8873-9BF2006E4DE7}" destId="{4589BC82-B294-43C1-9381-0A815A7BCC20}" srcOrd="0" destOrd="0" presId="urn:microsoft.com/office/officeart/2005/8/layout/hList1"/>
    <dgm:cxn modelId="{3553CF94-9AE7-4CAA-ADAB-DF702CF26B56}" srcId="{22D03300-8727-4FDA-8873-9BF2006E4DE7}" destId="{666E2322-700D-4C2B-87CD-6A66FE21332C}" srcOrd="3" destOrd="0" parTransId="{647FE284-7B6E-4D32-818B-FAEEE87D3C04}" sibTransId="{5FA40161-9726-4099-9783-784B421EE1FB}"/>
    <dgm:cxn modelId="{14B6102B-0E42-4726-A47D-6A9CD105F65E}" type="presOf" srcId="{2840550E-5B3C-4842-8EC0-51101E77737A}" destId="{C6E561BF-1B54-4DD7-B887-5BF5EDF27FB2}" srcOrd="0" destOrd="1" presId="urn:microsoft.com/office/officeart/2005/8/layout/hList1"/>
    <dgm:cxn modelId="{4E66378F-4134-4E2F-ABE4-7B94ACB3ECEC}" srcId="{75C064CB-2D48-46CD-8FC3-6B9A4FCCA1A1}" destId="{FA473975-9DA5-4648-AEE5-D621F22C0EA3}" srcOrd="0" destOrd="0" parTransId="{31DE406D-DB77-4305-80C9-53D13A8BD46B}" sibTransId="{27256AB0-04D3-48BE-B2BB-6410EA5BE2EB}"/>
    <dgm:cxn modelId="{B94655C9-EDDC-4C46-A00D-DFD37B374EAC}" type="presOf" srcId="{C5738CC5-7EF1-4E0F-BC19-41D7392DD31A}" destId="{C6E561BF-1B54-4DD7-B887-5BF5EDF27FB2}" srcOrd="0" destOrd="2" presId="urn:microsoft.com/office/officeart/2005/8/layout/hList1"/>
    <dgm:cxn modelId="{666165CB-C6F3-4D98-8E62-BB0D866091A8}" srcId="{F08EDCAC-D149-4454-9EDE-BE8FBC1D3A1E}" destId="{271A323D-55B9-4463-B823-E6B4B7B81196}" srcOrd="1" destOrd="0" parTransId="{CCACFACC-2127-4E34-9DFA-80A616978801}" sibTransId="{C968192E-2774-4BB8-B675-3695109EE945}"/>
    <dgm:cxn modelId="{7A3FC9F1-7081-4015-B6E7-A192B1FFCBD1}" type="presOf" srcId="{C42D344B-32DF-47C9-B590-1385A17AAB97}" destId="{3471C0DB-13FB-4002-AE88-1A7FABA171E0}" srcOrd="0" destOrd="4" presId="urn:microsoft.com/office/officeart/2005/8/layout/hList1"/>
    <dgm:cxn modelId="{1D1D6900-5863-4B08-990D-52B60BCBD279}" type="presOf" srcId="{271A323D-55B9-4463-B823-E6B4B7B81196}" destId="{3471C0DB-13FB-4002-AE88-1A7FABA171E0}" srcOrd="0" destOrd="1" presId="urn:microsoft.com/office/officeart/2005/8/layout/hList1"/>
    <dgm:cxn modelId="{0C65E270-C57D-4C28-A9B2-FF6084A9EF2B}" type="presOf" srcId="{5F8CF7B3-CD6D-4ABF-B436-2414BD8B27FA}" destId="{C6E561BF-1B54-4DD7-B887-5BF5EDF27FB2}" srcOrd="0" destOrd="3" presId="urn:microsoft.com/office/officeart/2005/8/layout/hList1"/>
    <dgm:cxn modelId="{904FAD38-6206-49DE-934F-CECAC6C4904E}" srcId="{22D03300-8727-4FDA-8873-9BF2006E4DE7}" destId="{A56F0000-370D-4BFF-9F34-75C6A7BB1182}" srcOrd="0" destOrd="0" parTransId="{95E46DD6-D4BB-454F-90A0-895FD7074BCC}" sibTransId="{BEA35108-1CEF-41AC-9EBE-E949AB14B65F}"/>
    <dgm:cxn modelId="{7DB6A803-B60F-4091-818F-A1E40351F3C3}" srcId="{22D03300-8727-4FDA-8873-9BF2006E4DE7}" destId="{D2AE5D21-A34A-4BD9-9A63-F02C38D2C2AA}" srcOrd="1" destOrd="0" parTransId="{2C2B17F5-8E41-444C-8FD9-331000FCD206}" sibTransId="{3898A9C4-DA52-409E-B59D-D26EA8EF1805}"/>
    <dgm:cxn modelId="{88A0201B-2276-4319-8986-E3008FB09827}" type="presOf" srcId="{D2AE5D21-A34A-4BD9-9A63-F02C38D2C2AA}" destId="{F8FAEDE8-66B0-42C4-A809-BD3FE906B02E}" srcOrd="0" destOrd="1" presId="urn:microsoft.com/office/officeart/2005/8/layout/hList1"/>
    <dgm:cxn modelId="{BE1AC6AD-7537-45EE-8E8C-EEC4482D5E7A}" type="presOf" srcId="{F08EDCAC-D149-4454-9EDE-BE8FBC1D3A1E}" destId="{0FD89E45-BE88-4C7C-80F3-257A7B1DD1DB}" srcOrd="0" destOrd="0" presId="urn:microsoft.com/office/officeart/2005/8/layout/hList1"/>
    <dgm:cxn modelId="{B4FCD854-6390-4707-AE34-CAFFBEB0804E}" srcId="{22D03300-8727-4FDA-8873-9BF2006E4DE7}" destId="{4C6FAA9D-DE74-47F8-8981-53E1E6D7B2B0}" srcOrd="2" destOrd="0" parTransId="{220CF898-4BB3-4A91-81FE-74FC973A3561}" sibTransId="{B63293F4-D3C1-4E91-B016-9F86B488AF20}"/>
    <dgm:cxn modelId="{9F828B50-7343-4EDD-A50F-24C599330C4A}" srcId="{E4BC31CA-615B-4267-81D6-7CB8656D1AF7}" destId="{22D03300-8727-4FDA-8873-9BF2006E4DE7}" srcOrd="0" destOrd="0" parTransId="{9BC8D629-47B9-44AD-9EB2-0A4E7D3D1353}" sibTransId="{8AA54465-284D-4B3A-87D4-7CE2099627ED}"/>
    <dgm:cxn modelId="{F1FA68A3-2817-40AC-ACEB-8A2C6DD905C7}" type="presOf" srcId="{E4BC31CA-615B-4267-81D6-7CB8656D1AF7}" destId="{E5FFBDEF-73B5-48F4-8B90-AA16B30E0809}" srcOrd="0" destOrd="0" presId="urn:microsoft.com/office/officeart/2005/8/layout/hList1"/>
    <dgm:cxn modelId="{632BF64B-3B7E-4DBB-BB2A-2BEB9148B0FA}" srcId="{F08EDCAC-D149-4454-9EDE-BE8FBC1D3A1E}" destId="{C882B863-4037-4492-992E-BC4076C1E30A}" srcOrd="6" destOrd="0" parTransId="{7685642F-C501-4363-A267-6E4025D9BDA1}" sibTransId="{6ECAF949-CE27-4041-BD4D-B6865954E6F5}"/>
    <dgm:cxn modelId="{842FF527-8A65-4771-BB67-54B00E99C7A7}" type="presOf" srcId="{A56F0000-370D-4BFF-9F34-75C6A7BB1182}" destId="{F8FAEDE8-66B0-42C4-A809-BD3FE906B02E}" srcOrd="0" destOrd="0" presId="urn:microsoft.com/office/officeart/2005/8/layout/hList1"/>
    <dgm:cxn modelId="{AF176B8F-82E9-4B0E-AD21-2463C86056B4}" srcId="{E4BC31CA-615B-4267-81D6-7CB8656D1AF7}" destId="{75C064CB-2D48-46CD-8FC3-6B9A4FCCA1A1}" srcOrd="2" destOrd="0" parTransId="{37B6AB52-174E-47F3-AD26-54F5347D1602}" sibTransId="{BB99961A-8C47-48EC-8F6A-FBC811DE553C}"/>
    <dgm:cxn modelId="{F415C8AC-61E6-4D09-A98B-2F9D33098E79}" type="presOf" srcId="{4C6FAA9D-DE74-47F8-8981-53E1E6D7B2B0}" destId="{F8FAEDE8-66B0-42C4-A809-BD3FE906B02E}" srcOrd="0" destOrd="2" presId="urn:microsoft.com/office/officeart/2005/8/layout/hList1"/>
    <dgm:cxn modelId="{CB94B4C0-668F-45A9-BFF8-1E06D6904F1E}" srcId="{75C064CB-2D48-46CD-8FC3-6B9A4FCCA1A1}" destId="{5F8CF7B3-CD6D-4ABF-B436-2414BD8B27FA}" srcOrd="3" destOrd="0" parTransId="{C49CDDB3-CC0F-4FD0-ADF0-AF55AB289268}" sibTransId="{B9E5192A-8DC2-41DB-98D2-B7DD0DD14B76}"/>
    <dgm:cxn modelId="{2C2E25F9-AACE-4E8E-A06D-AF76BE06FAAD}" type="presOf" srcId="{A3F79CC4-7044-4481-9817-1110A0D0DE23}" destId="{C6E561BF-1B54-4DD7-B887-5BF5EDF27FB2}" srcOrd="0" destOrd="4" presId="urn:microsoft.com/office/officeart/2005/8/layout/hList1"/>
    <dgm:cxn modelId="{2B195D5C-D056-4F7B-B685-E0CDCCF1EDAD}" type="presOf" srcId="{C882B863-4037-4492-992E-BC4076C1E30A}" destId="{3471C0DB-13FB-4002-AE88-1A7FABA171E0}" srcOrd="0" destOrd="6" presId="urn:microsoft.com/office/officeart/2005/8/layout/hList1"/>
    <dgm:cxn modelId="{335D0057-2533-461B-A7BE-43DAFF8DB8FD}" type="presOf" srcId="{FA473975-9DA5-4648-AEE5-D621F22C0EA3}" destId="{C6E561BF-1B54-4DD7-B887-5BF5EDF27FB2}" srcOrd="0" destOrd="0" presId="urn:microsoft.com/office/officeart/2005/8/layout/hList1"/>
    <dgm:cxn modelId="{757116A0-B649-4D61-A489-75408D90517E}" srcId="{75C064CB-2D48-46CD-8FC3-6B9A4FCCA1A1}" destId="{C5738CC5-7EF1-4E0F-BC19-41D7392DD31A}" srcOrd="2" destOrd="0" parTransId="{B161BC00-B101-4531-86C1-7E6F8A81DDF0}" sibTransId="{A6DAB225-FBA4-4068-8986-40F0EA20A1B4}"/>
    <dgm:cxn modelId="{0B2C5DC5-DF98-4805-BE3F-78747670D63D}" type="presOf" srcId="{75C064CB-2D48-46CD-8FC3-6B9A4FCCA1A1}" destId="{F8CD3523-17D5-4A5C-8F3C-4465A2224926}" srcOrd="0" destOrd="0" presId="urn:microsoft.com/office/officeart/2005/8/layout/hList1"/>
    <dgm:cxn modelId="{1005F250-C7C4-47EE-BFCA-8E5A82A4222A}" srcId="{F08EDCAC-D149-4454-9EDE-BE8FBC1D3A1E}" destId="{0B94882C-A869-4EC2-9761-8B1A3A68F30C}" srcOrd="7" destOrd="0" parTransId="{5A39D839-9E57-465A-92F7-CA8DF1CE83FC}" sibTransId="{C52C6B15-FA16-4DE4-B05F-0B77DB96AA3C}"/>
    <dgm:cxn modelId="{73E522C4-4726-40ED-BB40-78B8BD54377A}" srcId="{75C064CB-2D48-46CD-8FC3-6B9A4FCCA1A1}" destId="{A3F79CC4-7044-4481-9817-1110A0D0DE23}" srcOrd="4" destOrd="0" parTransId="{5D259737-18AC-4C4C-87C8-F93250611CC0}" sibTransId="{EC678DC8-7FC3-47FC-A563-7C311576D3DC}"/>
    <dgm:cxn modelId="{AFDAA4B1-4CB5-4D36-90C6-52CE8D63229B}" type="presOf" srcId="{A7E1A06E-6B03-4099-9D8B-9D39C9A391BE}" destId="{3471C0DB-13FB-4002-AE88-1A7FABA171E0}" srcOrd="0" destOrd="2" presId="urn:microsoft.com/office/officeart/2005/8/layout/hList1"/>
    <dgm:cxn modelId="{9A51EF01-570E-4642-9219-C1A61602047C}" srcId="{F08EDCAC-D149-4454-9EDE-BE8FBC1D3A1E}" destId="{767E7EDB-859F-4181-BD94-B09612559644}" srcOrd="5" destOrd="0" parTransId="{B9C7D090-C2E9-40F6-9812-F60E0E5EFBA0}" sibTransId="{B0969D7A-353F-4DA0-8654-D8E04E03DA82}"/>
    <dgm:cxn modelId="{9D8F5E1A-1402-4F8A-9D76-413879BBC1EB}" type="presParOf" srcId="{E5FFBDEF-73B5-48F4-8B90-AA16B30E0809}" destId="{974CB47E-CD51-4208-B03D-5C21A7C5FA52}" srcOrd="0" destOrd="0" presId="urn:microsoft.com/office/officeart/2005/8/layout/hList1"/>
    <dgm:cxn modelId="{DCD4D3BB-15EF-4A08-9E54-08F4909C69A1}" type="presParOf" srcId="{974CB47E-CD51-4208-B03D-5C21A7C5FA52}" destId="{4589BC82-B294-43C1-9381-0A815A7BCC20}" srcOrd="0" destOrd="0" presId="urn:microsoft.com/office/officeart/2005/8/layout/hList1"/>
    <dgm:cxn modelId="{484930F0-D530-4F11-863F-61A8CBE7BC8F}" type="presParOf" srcId="{974CB47E-CD51-4208-B03D-5C21A7C5FA52}" destId="{F8FAEDE8-66B0-42C4-A809-BD3FE906B02E}" srcOrd="1" destOrd="0" presId="urn:microsoft.com/office/officeart/2005/8/layout/hList1"/>
    <dgm:cxn modelId="{46BFAA48-17B4-4D28-8494-9B2770211FFD}" type="presParOf" srcId="{E5FFBDEF-73B5-48F4-8B90-AA16B30E0809}" destId="{E4BD4E35-2389-47C8-99D6-231517147552}" srcOrd="1" destOrd="0" presId="urn:microsoft.com/office/officeart/2005/8/layout/hList1"/>
    <dgm:cxn modelId="{04F43369-E03A-4219-A93E-E8B73A75F628}" type="presParOf" srcId="{E5FFBDEF-73B5-48F4-8B90-AA16B30E0809}" destId="{65968AC3-4F8F-4A50-8618-188B400AF3BA}" srcOrd="2" destOrd="0" presId="urn:microsoft.com/office/officeart/2005/8/layout/hList1"/>
    <dgm:cxn modelId="{6EE657EF-F912-4536-A9AE-AC4105F8AD49}" type="presParOf" srcId="{65968AC3-4F8F-4A50-8618-188B400AF3BA}" destId="{0FD89E45-BE88-4C7C-80F3-257A7B1DD1DB}" srcOrd="0" destOrd="0" presId="urn:microsoft.com/office/officeart/2005/8/layout/hList1"/>
    <dgm:cxn modelId="{4E400CD2-DB13-4999-8111-71C23C44712E}" type="presParOf" srcId="{65968AC3-4F8F-4A50-8618-188B400AF3BA}" destId="{3471C0DB-13FB-4002-AE88-1A7FABA171E0}" srcOrd="1" destOrd="0" presId="urn:microsoft.com/office/officeart/2005/8/layout/hList1"/>
    <dgm:cxn modelId="{83B22F67-0898-4766-9EBC-8109CF3BC278}" type="presParOf" srcId="{E5FFBDEF-73B5-48F4-8B90-AA16B30E0809}" destId="{AE24F2E3-965A-489B-BC5A-C53517735A52}" srcOrd="3" destOrd="0" presId="urn:microsoft.com/office/officeart/2005/8/layout/hList1"/>
    <dgm:cxn modelId="{B9BC0CD9-9DA8-43E8-953E-C1038992FA88}" type="presParOf" srcId="{E5FFBDEF-73B5-48F4-8B90-AA16B30E0809}" destId="{1B1FF616-5E3A-4AB7-BCE5-7EBF3E3213E4}" srcOrd="4" destOrd="0" presId="urn:microsoft.com/office/officeart/2005/8/layout/hList1"/>
    <dgm:cxn modelId="{6086D40C-E1AE-4626-B2C2-E179C8376C9F}" type="presParOf" srcId="{1B1FF616-5E3A-4AB7-BCE5-7EBF3E3213E4}" destId="{F8CD3523-17D5-4A5C-8F3C-4465A2224926}" srcOrd="0" destOrd="0" presId="urn:microsoft.com/office/officeart/2005/8/layout/hList1"/>
    <dgm:cxn modelId="{A1CB5AEB-410D-4740-AFDD-233C023774C9}" type="presParOf" srcId="{1B1FF616-5E3A-4AB7-BCE5-7EBF3E3213E4}" destId="{C6E561BF-1B54-4DD7-B887-5BF5EDF27FB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9BC82-B294-43C1-9381-0A815A7BCC20}">
      <dsp:nvSpPr>
        <dsp:cNvPr id="0" name=""/>
        <dsp:cNvSpPr/>
      </dsp:nvSpPr>
      <dsp:spPr>
        <a:xfrm>
          <a:off x="2104" y="136678"/>
          <a:ext cx="2051818" cy="56372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rPr>
            <a:t>What aspect of the teacher quality problem is schools-led ITE designed to address?</a:t>
          </a:r>
        </a:p>
      </dsp:txBody>
      <dsp:txXfrm>
        <a:off x="2104" y="136678"/>
        <a:ext cx="2051818" cy="563728"/>
      </dsp:txXfrm>
    </dsp:sp>
    <dsp:sp modelId="{F8FAEDE8-66B0-42C4-A809-BD3FE906B02E}">
      <dsp:nvSpPr>
        <dsp:cNvPr id="0" name=""/>
        <dsp:cNvSpPr/>
      </dsp:nvSpPr>
      <dsp:spPr>
        <a:xfrm>
          <a:off x="2104" y="700406"/>
          <a:ext cx="2051818" cy="19918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Unaccountable teacher educator/university Schools of Education</a:t>
          </a:r>
        </a:p>
        <a:p>
          <a:pPr marL="57150" lvl="1" indent="-57150" algn="l" defTabSz="444500">
            <a:lnSpc>
              <a:spcPct val="90000"/>
            </a:lnSpc>
            <a:spcBef>
              <a:spcPct val="0"/>
            </a:spcBef>
            <a:spcAft>
              <a:spcPct val="15000"/>
            </a:spcAft>
            <a:buChar char="••"/>
          </a:pPr>
          <a:r>
            <a:rPr lang="en-GB" sz="1000" kern="1200"/>
            <a:t>Content of university programmes</a:t>
          </a:r>
        </a:p>
        <a:p>
          <a:pPr marL="57150" lvl="1" indent="-57150" algn="l" defTabSz="444500">
            <a:lnSpc>
              <a:spcPct val="90000"/>
            </a:lnSpc>
            <a:spcBef>
              <a:spcPct val="0"/>
            </a:spcBef>
            <a:spcAft>
              <a:spcPct val="15000"/>
            </a:spcAft>
            <a:buChar char="••"/>
          </a:pPr>
          <a:r>
            <a:rPr lang="en-GB" sz="1000" kern="1200"/>
            <a:t>Relevance, practical experience at the chalk face</a:t>
          </a:r>
        </a:p>
        <a:p>
          <a:pPr marL="57150" lvl="1" indent="-57150" algn="l" defTabSz="444500">
            <a:lnSpc>
              <a:spcPct val="90000"/>
            </a:lnSpc>
            <a:spcBef>
              <a:spcPct val="0"/>
            </a:spcBef>
            <a:spcAft>
              <a:spcPct val="15000"/>
            </a:spcAft>
            <a:buChar char="••"/>
          </a:pPr>
          <a:r>
            <a:rPr lang="en-GB" sz="1000" kern="1200"/>
            <a:t>Teacher supply/ workforce planning, especially when coupled with hard-to-staff schools</a:t>
          </a:r>
        </a:p>
      </dsp:txBody>
      <dsp:txXfrm>
        <a:off x="2104" y="700406"/>
        <a:ext cx="2051818" cy="1991840"/>
      </dsp:txXfrm>
    </dsp:sp>
    <dsp:sp modelId="{0FD89E45-BE88-4C7C-80F3-257A7B1DD1DB}">
      <dsp:nvSpPr>
        <dsp:cNvPr id="0" name=""/>
        <dsp:cNvSpPr/>
      </dsp:nvSpPr>
      <dsp:spPr>
        <a:xfrm>
          <a:off x="2341178" y="136678"/>
          <a:ext cx="2051818" cy="56372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rPr>
            <a:t>Change strategy</a:t>
          </a:r>
        </a:p>
      </dsp:txBody>
      <dsp:txXfrm>
        <a:off x="2341178" y="136678"/>
        <a:ext cx="2051818" cy="563728"/>
      </dsp:txXfrm>
    </dsp:sp>
    <dsp:sp modelId="{3471C0DB-13FB-4002-AE88-1A7FABA171E0}">
      <dsp:nvSpPr>
        <dsp:cNvPr id="0" name=""/>
        <dsp:cNvSpPr/>
      </dsp:nvSpPr>
      <dsp:spPr>
        <a:xfrm>
          <a:off x="2341178" y="700406"/>
          <a:ext cx="2051818" cy="19918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Open up the market to a wider range of providers</a:t>
          </a:r>
        </a:p>
        <a:p>
          <a:pPr marL="57150" lvl="1" indent="-57150" algn="l" defTabSz="444500">
            <a:lnSpc>
              <a:spcPct val="90000"/>
            </a:lnSpc>
            <a:spcBef>
              <a:spcPct val="0"/>
            </a:spcBef>
            <a:spcAft>
              <a:spcPct val="15000"/>
            </a:spcAft>
            <a:buChar char="••"/>
          </a:pPr>
          <a:r>
            <a:rPr lang="en-GB" sz="1000" kern="1200"/>
            <a:t>Focus on programme inputs </a:t>
          </a:r>
          <a:r>
            <a:rPr lang="en-GB" sz="1000" i="1" kern="1200"/>
            <a:t>and</a:t>
          </a:r>
          <a:r>
            <a:rPr lang="en-GB" sz="1000" kern="1200"/>
            <a:t> outcomes data</a:t>
          </a:r>
        </a:p>
        <a:p>
          <a:pPr marL="57150" lvl="1" indent="-57150" algn="l" defTabSz="444500">
            <a:lnSpc>
              <a:spcPct val="90000"/>
            </a:lnSpc>
            <a:spcBef>
              <a:spcPct val="0"/>
            </a:spcBef>
            <a:spcAft>
              <a:spcPct val="15000"/>
            </a:spcAft>
            <a:buChar char="••"/>
          </a:pPr>
          <a:r>
            <a:rPr lang="en-GB" sz="1000" kern="1200"/>
            <a:t>Core content for ITE curriculum</a:t>
          </a:r>
        </a:p>
        <a:p>
          <a:pPr marL="57150" lvl="1" indent="-57150" algn="l" defTabSz="444500">
            <a:lnSpc>
              <a:spcPct val="90000"/>
            </a:lnSpc>
            <a:spcBef>
              <a:spcPct val="0"/>
            </a:spcBef>
            <a:spcAft>
              <a:spcPct val="15000"/>
            </a:spcAft>
            <a:buChar char="••"/>
          </a:pPr>
          <a:r>
            <a:rPr lang="en-GB" sz="1000" kern="1200"/>
            <a:t>More time in school, in-the-field evaluations</a:t>
          </a:r>
        </a:p>
        <a:p>
          <a:pPr marL="57150" lvl="1" indent="-57150" algn="l" defTabSz="444500">
            <a:lnSpc>
              <a:spcPct val="90000"/>
            </a:lnSpc>
            <a:spcBef>
              <a:spcPct val="0"/>
            </a:spcBef>
            <a:spcAft>
              <a:spcPct val="15000"/>
            </a:spcAft>
            <a:buChar char="••"/>
          </a:pPr>
          <a:r>
            <a:rPr lang="en-GB" sz="1000" kern="1200"/>
            <a:t>Recruitment incentives</a:t>
          </a:r>
        </a:p>
        <a:p>
          <a:pPr marL="57150" lvl="1" indent="-57150" algn="l" defTabSz="444500">
            <a:lnSpc>
              <a:spcPct val="90000"/>
            </a:lnSpc>
            <a:spcBef>
              <a:spcPct val="0"/>
            </a:spcBef>
            <a:spcAft>
              <a:spcPct val="15000"/>
            </a:spcAft>
            <a:buChar char="••"/>
          </a:pPr>
          <a:r>
            <a:rPr lang="en-GB" sz="1000" kern="1200"/>
            <a:t>Reporting requirements to monitor compliance </a:t>
          </a:r>
        </a:p>
        <a:p>
          <a:pPr marL="57150" lvl="1" indent="-57150" algn="l" defTabSz="444500">
            <a:lnSpc>
              <a:spcPct val="90000"/>
            </a:lnSpc>
            <a:spcBef>
              <a:spcPct val="0"/>
            </a:spcBef>
            <a:spcAft>
              <a:spcPct val="15000"/>
            </a:spcAft>
            <a:buChar char="••"/>
          </a:pPr>
          <a:r>
            <a:rPr lang="en-GB" sz="1000" kern="1200"/>
            <a:t>Inspection </a:t>
          </a:r>
        </a:p>
        <a:p>
          <a:pPr marL="57150" lvl="1" indent="-57150" algn="l" defTabSz="444500">
            <a:lnSpc>
              <a:spcPct val="90000"/>
            </a:lnSpc>
            <a:spcBef>
              <a:spcPct val="0"/>
            </a:spcBef>
            <a:spcAft>
              <a:spcPct val="15000"/>
            </a:spcAft>
            <a:buChar char="••"/>
          </a:pPr>
          <a:endParaRPr lang="en-GB" sz="1000" kern="1200"/>
        </a:p>
      </dsp:txBody>
      <dsp:txXfrm>
        <a:off x="2341178" y="700406"/>
        <a:ext cx="2051818" cy="1991840"/>
      </dsp:txXfrm>
    </dsp:sp>
    <dsp:sp modelId="{F8CD3523-17D5-4A5C-8F3C-4465A2224926}">
      <dsp:nvSpPr>
        <dsp:cNvPr id="0" name=""/>
        <dsp:cNvSpPr/>
      </dsp:nvSpPr>
      <dsp:spPr>
        <a:xfrm>
          <a:off x="4680251" y="136678"/>
          <a:ext cx="2051818" cy="56372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GB" sz="1000" b="1" kern="1200">
              <a:solidFill>
                <a:sysClr val="windowText" lastClr="000000"/>
              </a:solidFill>
            </a:rPr>
            <a:t>Research agenda</a:t>
          </a:r>
        </a:p>
        <a:p>
          <a:pPr lvl="0" algn="ctr" defTabSz="444500">
            <a:lnSpc>
              <a:spcPct val="90000"/>
            </a:lnSpc>
            <a:spcBef>
              <a:spcPct val="0"/>
            </a:spcBef>
            <a:spcAft>
              <a:spcPct val="35000"/>
            </a:spcAft>
          </a:pPr>
          <a:r>
            <a:rPr lang="en-GB" sz="1000" b="1" kern="1200">
              <a:solidFill>
                <a:sysClr val="windowText" lastClr="000000"/>
              </a:solidFill>
            </a:rPr>
            <a:t>Evidence linking change with enhanced teacher quality</a:t>
          </a:r>
        </a:p>
      </dsp:txBody>
      <dsp:txXfrm>
        <a:off x="4680251" y="136678"/>
        <a:ext cx="2051818" cy="563728"/>
      </dsp:txXfrm>
    </dsp:sp>
    <dsp:sp modelId="{C6E561BF-1B54-4DD7-B887-5BF5EDF27FB2}">
      <dsp:nvSpPr>
        <dsp:cNvPr id="0" name=""/>
        <dsp:cNvSpPr/>
      </dsp:nvSpPr>
      <dsp:spPr>
        <a:xfrm>
          <a:off x="4680251" y="700406"/>
          <a:ext cx="2051818" cy="19918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How (different types of) preparation add value to teacher effectiveness</a:t>
          </a:r>
        </a:p>
        <a:p>
          <a:pPr marL="57150" lvl="1" indent="-57150" algn="l" defTabSz="444500">
            <a:lnSpc>
              <a:spcPct val="90000"/>
            </a:lnSpc>
            <a:spcBef>
              <a:spcPct val="0"/>
            </a:spcBef>
            <a:spcAft>
              <a:spcPct val="15000"/>
            </a:spcAft>
            <a:buChar char="••"/>
          </a:pPr>
          <a:r>
            <a:rPr lang="en-GB" sz="1000" kern="1200"/>
            <a:t>Effects of </a:t>
          </a:r>
          <a:r>
            <a:rPr lang="en-GB" sz="1000" i="0" kern="1200"/>
            <a:t>pathways, programs, routes (value added modelling, multiple regression analysis to explore pathways and outcomes)</a:t>
          </a:r>
        </a:p>
        <a:p>
          <a:pPr marL="57150" lvl="1" indent="-57150" algn="l" defTabSz="444500">
            <a:lnSpc>
              <a:spcPct val="90000"/>
            </a:lnSpc>
            <a:spcBef>
              <a:spcPct val="0"/>
            </a:spcBef>
            <a:spcAft>
              <a:spcPct val="15000"/>
            </a:spcAft>
            <a:buChar char="••"/>
          </a:pPr>
          <a:r>
            <a:rPr lang="en-GB" sz="1000" i="0" kern="1200"/>
            <a:t>Employment data</a:t>
          </a:r>
        </a:p>
        <a:p>
          <a:pPr marL="57150" lvl="1" indent="-57150" algn="l" defTabSz="444500">
            <a:lnSpc>
              <a:spcPct val="90000"/>
            </a:lnSpc>
            <a:spcBef>
              <a:spcPct val="0"/>
            </a:spcBef>
            <a:spcAft>
              <a:spcPct val="15000"/>
            </a:spcAft>
            <a:buChar char="••"/>
          </a:pPr>
          <a:r>
            <a:rPr lang="en-GB" sz="1000" i="0" kern="1200"/>
            <a:t> NQT &amp; employer assessments of quality of preparation</a:t>
          </a:r>
        </a:p>
        <a:p>
          <a:pPr marL="57150" lvl="1" indent="-57150" algn="l" defTabSz="444500">
            <a:lnSpc>
              <a:spcPct val="90000"/>
            </a:lnSpc>
            <a:spcBef>
              <a:spcPct val="0"/>
            </a:spcBef>
            <a:spcAft>
              <a:spcPct val="15000"/>
            </a:spcAft>
            <a:buChar char="••"/>
          </a:pPr>
          <a:r>
            <a:rPr lang="en-GB" sz="1000" i="0" kern="1200"/>
            <a:t>Actionable evidence? Supporting programme improvement</a:t>
          </a:r>
        </a:p>
      </dsp:txBody>
      <dsp:txXfrm>
        <a:off x="4680251" y="700406"/>
        <a:ext cx="2051818" cy="19918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74DB-D956-402A-9295-27298C34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7857</Words>
  <Characters>44789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 Hulme</cp:lastModifiedBy>
  <cp:revision>2</cp:revision>
  <dcterms:created xsi:type="dcterms:W3CDTF">2018-02-23T08:00:00Z</dcterms:created>
  <dcterms:modified xsi:type="dcterms:W3CDTF">2018-02-23T08:00:00Z</dcterms:modified>
</cp:coreProperties>
</file>